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F9B92" w14:textId="37A7F3B8" w:rsidR="00BF2530" w:rsidRPr="006A1432" w:rsidRDefault="008C6295" w:rsidP="0041356A">
      <w:pPr>
        <w:pStyle w:val="IntenseQuote"/>
        <w:spacing w:line="240" w:lineRule="auto"/>
        <w:ind w:left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Calderdale Cares Neighbourhood</w:t>
      </w:r>
      <w:r w:rsidR="00662C35" w:rsidRPr="006A1432">
        <w:rPr>
          <w:rFonts w:ascii="Arial" w:hAnsi="Arial" w:cs="Arial"/>
          <w:sz w:val="36"/>
          <w:szCs w:val="36"/>
        </w:rPr>
        <w:t xml:space="preserve"> Profile – Central</w:t>
      </w:r>
    </w:p>
    <w:p w14:paraId="4533F3BB" w14:textId="751A3887" w:rsidR="00060BDD" w:rsidRPr="006A1432" w:rsidRDefault="00060BDD" w:rsidP="0041356A">
      <w:pPr>
        <w:rPr>
          <w:rFonts w:ascii="Arial" w:hAnsi="Arial" w:cs="Arial"/>
          <w:noProof/>
        </w:rPr>
      </w:pPr>
      <w:r w:rsidRPr="00145B09">
        <w:rPr>
          <w:rFonts w:ascii="Arial" w:hAnsi="Arial" w:cs="Arial"/>
          <w:b/>
          <w:color w:val="0070C0"/>
          <w:sz w:val="24"/>
          <w:szCs w:val="24"/>
        </w:rPr>
        <w:t>Map of area</w:t>
      </w:r>
    </w:p>
    <w:p w14:paraId="28347DAA" w14:textId="57FFA068" w:rsidR="0041356A" w:rsidRPr="006A1432" w:rsidRDefault="00F26086" w:rsidP="0041356A">
      <w:pPr>
        <w:rPr>
          <w:rFonts w:ascii="Arial" w:hAnsi="Arial" w:cs="Arial"/>
          <w:b/>
          <w:color w:val="4F81BD"/>
          <w:sz w:val="24"/>
          <w:szCs w:val="24"/>
        </w:rPr>
      </w:pPr>
      <w:r>
        <w:rPr>
          <w:noProof/>
        </w:rPr>
        <w:drawing>
          <wp:inline distT="0" distB="0" distL="0" distR="0" wp14:anchorId="04B9A32E" wp14:editId="43132B75">
            <wp:extent cx="3885898" cy="270510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87706" cy="2706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5A8F8" w14:textId="7628A471" w:rsidR="00722DC0" w:rsidRPr="006A1432" w:rsidRDefault="00060BDD" w:rsidP="00A7060E">
      <w:pPr>
        <w:rPr>
          <w:rFonts w:ascii="Arial" w:hAnsi="Arial" w:cs="Arial"/>
        </w:rPr>
      </w:pPr>
      <w:r w:rsidRPr="006A1432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DC8BF8B" wp14:editId="33A44195">
                <wp:extent cx="2362200" cy="1967230"/>
                <wp:effectExtent l="0" t="0" r="0" b="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96723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206A7" w14:textId="1C76F365" w:rsidR="00662C35" w:rsidRDefault="00662C35" w:rsidP="00662C35">
                            <w:pPr>
                              <w:rPr>
                                <w:b/>
                                <w:color w:val="4F81BD"/>
                                <w:sz w:val="24"/>
                                <w:szCs w:val="24"/>
                              </w:rPr>
                            </w:pPr>
                            <w:r w:rsidRPr="00145B0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GPs in </w:t>
                            </w:r>
                            <w:r w:rsidR="00912C1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Central</w:t>
                            </w:r>
                          </w:p>
                          <w:p w14:paraId="5AB61506" w14:textId="77777777" w:rsidR="00662C35" w:rsidRDefault="00662C35" w:rsidP="00662C35">
                            <w:pPr>
                              <w:spacing w:after="0" w:line="240" w:lineRule="auto"/>
                              <w:rPr>
                                <w:b/>
                                <w:color w:val="4F81BD"/>
                                <w:sz w:val="24"/>
                                <w:szCs w:val="24"/>
                              </w:rPr>
                            </w:pPr>
                            <w:r>
                              <w:t>Boulevard Medical Centre</w:t>
                            </w:r>
                          </w:p>
                          <w:p w14:paraId="165177A6" w14:textId="77777777" w:rsidR="00662C35" w:rsidRDefault="00662C35" w:rsidP="00662C35">
                            <w:pPr>
                              <w:spacing w:after="0" w:line="240" w:lineRule="auto"/>
                              <w:rPr>
                                <w:b/>
                                <w:color w:val="4F81BD"/>
                                <w:sz w:val="24"/>
                                <w:szCs w:val="24"/>
                              </w:rPr>
                            </w:pPr>
                            <w:r>
                              <w:t>King Cross Practice</w:t>
                            </w:r>
                          </w:p>
                          <w:p w14:paraId="4E67E76E" w14:textId="1BC39A54" w:rsidR="00662C35" w:rsidRPr="00662C35" w:rsidRDefault="00662C35" w:rsidP="00662C35">
                            <w:pPr>
                              <w:spacing w:after="0" w:line="240" w:lineRule="auto"/>
                              <w:rPr>
                                <w:b/>
                                <w:color w:val="4F81BD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t>Rosegarth</w:t>
                            </w:r>
                            <w:proofErr w:type="spellEnd"/>
                            <w:r>
                              <w:t xml:space="preserve"> Medical Practice</w:t>
                            </w:r>
                            <w:r w:rsidR="00912C1B">
                              <w:t xml:space="preserve"> Group</w:t>
                            </w:r>
                          </w:p>
                          <w:p w14:paraId="032655C9" w14:textId="6CE555A5" w:rsidR="00662C35" w:rsidRDefault="00662C35" w:rsidP="00662C35">
                            <w:pPr>
                              <w:spacing w:after="0" w:line="240" w:lineRule="auto"/>
                            </w:pPr>
                            <w:r>
                              <w:t>Spring Hall Medical Practice</w:t>
                            </w:r>
                            <w:r w:rsidR="00912C1B">
                              <w:t xml:space="preserve">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C8BF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86pt;height:15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" fillcolor="#b8cce4" stroked="f">
                <v:textbox style="mso-fit-shape-to-text:t">
                  <w:txbxContent>
                    <w:p w14:paraId="3AB206A7" w14:textId="1C76F365" w:rsidR="00662C35" w:rsidRDefault="00662C35" w:rsidP="00662C35">
                      <w:pPr>
                        <w:rPr>
                          <w:b/>
                          <w:color w:val="4F81BD"/>
                          <w:sz w:val="24"/>
                          <w:szCs w:val="24"/>
                        </w:rPr>
                      </w:pPr>
                      <w:r w:rsidRPr="00145B0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GPs in </w:t>
                      </w:r>
                      <w:r w:rsidR="00912C1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Central</w:t>
                      </w:r>
                    </w:p>
                    <w:p w14:paraId="5AB61506" w14:textId="77777777" w:rsidR="00662C35" w:rsidRDefault="00662C35" w:rsidP="00662C35">
                      <w:pPr>
                        <w:spacing w:after="0" w:line="240" w:lineRule="auto"/>
                        <w:rPr>
                          <w:b/>
                          <w:color w:val="4F81BD"/>
                          <w:sz w:val="24"/>
                          <w:szCs w:val="24"/>
                        </w:rPr>
                      </w:pPr>
                      <w:r>
                        <w:t>Boulevard Medical Centre</w:t>
                      </w:r>
                    </w:p>
                    <w:p w14:paraId="165177A6" w14:textId="77777777" w:rsidR="00662C35" w:rsidRDefault="00662C35" w:rsidP="00662C35">
                      <w:pPr>
                        <w:spacing w:after="0" w:line="240" w:lineRule="auto"/>
                        <w:rPr>
                          <w:b/>
                          <w:color w:val="4F81BD"/>
                          <w:sz w:val="24"/>
                          <w:szCs w:val="24"/>
                        </w:rPr>
                      </w:pPr>
                      <w:r>
                        <w:t>King Cross Practice</w:t>
                      </w:r>
                    </w:p>
                    <w:p w14:paraId="4E67E76E" w14:textId="1BC39A54" w:rsidR="00662C35" w:rsidRPr="00662C35" w:rsidRDefault="00662C35" w:rsidP="00662C35">
                      <w:pPr>
                        <w:spacing w:after="0" w:line="240" w:lineRule="auto"/>
                        <w:rPr>
                          <w:b/>
                          <w:color w:val="4F81BD"/>
                          <w:sz w:val="24"/>
                          <w:szCs w:val="24"/>
                        </w:rPr>
                      </w:pPr>
                      <w:proofErr w:type="spellStart"/>
                      <w:r>
                        <w:t>Rosegarth</w:t>
                      </w:r>
                      <w:proofErr w:type="spellEnd"/>
                      <w:r>
                        <w:t xml:space="preserve"> Medical Practice</w:t>
                      </w:r>
                      <w:r w:rsidR="00912C1B">
                        <w:t xml:space="preserve"> Group</w:t>
                      </w:r>
                    </w:p>
                    <w:p w14:paraId="032655C9" w14:textId="6CE555A5" w:rsidR="00662C35" w:rsidRDefault="00662C35" w:rsidP="00662C35">
                      <w:pPr>
                        <w:spacing w:after="0" w:line="240" w:lineRule="auto"/>
                      </w:pPr>
                      <w:r>
                        <w:t>Spring Hall Medical Practice</w:t>
                      </w:r>
                      <w:r w:rsidR="00912C1B">
                        <w:t xml:space="preserve"> Group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EFED23" w14:textId="46811D46" w:rsidR="00301DD0" w:rsidRPr="006A1432" w:rsidRDefault="00060BDD" w:rsidP="0041356A">
      <w:pPr>
        <w:rPr>
          <w:rFonts w:ascii="Arial" w:hAnsi="Arial" w:cs="Arial"/>
          <w:b/>
          <w:color w:val="4F81BD"/>
          <w:sz w:val="24"/>
          <w:szCs w:val="24"/>
        </w:rPr>
      </w:pPr>
      <w:r w:rsidRPr="006A143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491A7D" wp14:editId="009155B5">
                <wp:simplePos x="0" y="0"/>
                <wp:positionH relativeFrom="column">
                  <wp:posOffset>-31750</wp:posOffset>
                </wp:positionH>
                <wp:positionV relativeFrom="paragraph">
                  <wp:posOffset>188595</wp:posOffset>
                </wp:positionV>
                <wp:extent cx="5764530" cy="681990"/>
                <wp:effectExtent l="6350" t="8890" r="10795" b="13970"/>
                <wp:wrapNone/>
                <wp:docPr id="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D45C4" w14:textId="19C9182D" w:rsidR="008347AA" w:rsidRPr="00287E94" w:rsidRDefault="008347AA" w:rsidP="00283CE9">
                            <w:pPr>
                              <w:rPr>
                                <w:color w:val="000000"/>
                              </w:rPr>
                            </w:pPr>
                            <w:r w:rsidRPr="00145B09">
                              <w:rPr>
                                <w:b/>
                                <w:color w:val="0070C0"/>
                              </w:rPr>
                              <w:t xml:space="preserve">Wards in </w:t>
                            </w:r>
                            <w:r w:rsidR="00672680" w:rsidRPr="00145B09">
                              <w:rPr>
                                <w:b/>
                                <w:color w:val="0070C0"/>
                              </w:rPr>
                              <w:t>Central:</w:t>
                            </w:r>
                            <w:r w:rsidRPr="00287E94">
                              <w:rPr>
                                <w:b/>
                                <w:color w:val="1F497D"/>
                              </w:rPr>
                              <w:t xml:space="preserve"> </w:t>
                            </w:r>
                            <w:r w:rsidRPr="00287E94">
                              <w:rPr>
                                <w:color w:val="000000"/>
                              </w:rPr>
                              <w:t xml:space="preserve">The wards do not map </w:t>
                            </w:r>
                            <w:r w:rsidR="00662C35">
                              <w:rPr>
                                <w:color w:val="000000"/>
                              </w:rPr>
                              <w:t xml:space="preserve">exactly </w:t>
                            </w:r>
                            <w:r w:rsidRPr="00287E94">
                              <w:rPr>
                                <w:color w:val="000000"/>
                              </w:rPr>
                              <w:t xml:space="preserve">to the </w:t>
                            </w:r>
                            <w:r w:rsidR="00CF4F1F">
                              <w:rPr>
                                <w:color w:val="000000"/>
                              </w:rPr>
                              <w:t>neighbourhood</w:t>
                            </w:r>
                            <w:r w:rsidRPr="00287E94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145B09" w:rsidRPr="00287E94">
                              <w:rPr>
                                <w:color w:val="000000"/>
                              </w:rPr>
                              <w:t>boundaries;</w:t>
                            </w:r>
                            <w:r w:rsidRPr="00287E94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044624" w:rsidRPr="00287E94">
                              <w:rPr>
                                <w:color w:val="000000"/>
                              </w:rPr>
                              <w:t>however,</w:t>
                            </w:r>
                            <w:r w:rsidRPr="00287E94">
                              <w:rPr>
                                <w:color w:val="000000"/>
                              </w:rPr>
                              <w:t xml:space="preserve"> the following wards have part of their population living within </w:t>
                            </w:r>
                            <w:r w:rsidR="00662C35">
                              <w:rPr>
                                <w:color w:val="000000"/>
                              </w:rPr>
                              <w:t>Central</w:t>
                            </w:r>
                            <w:r w:rsidRPr="00287E94">
                              <w:rPr>
                                <w:color w:val="000000"/>
                              </w:rPr>
                              <w:t xml:space="preserve">; </w:t>
                            </w:r>
                            <w:r w:rsidR="00662C35">
                              <w:rPr>
                                <w:color w:val="000000"/>
                              </w:rPr>
                              <w:t>Park 83%, Skircoat 80%, Town</w:t>
                            </w:r>
                            <w:r w:rsidR="000E666D">
                              <w:rPr>
                                <w:color w:val="000000"/>
                              </w:rPr>
                              <w:t xml:space="preserve"> 53%</w:t>
                            </w:r>
                            <w:r w:rsidR="00662C35">
                              <w:rPr>
                                <w:color w:val="000000"/>
                              </w:rPr>
                              <w:t>, Warley</w:t>
                            </w:r>
                            <w:r w:rsidR="000E666D">
                              <w:rPr>
                                <w:color w:val="000000"/>
                              </w:rPr>
                              <w:t xml:space="preserve"> 56%</w:t>
                            </w:r>
                          </w:p>
                          <w:p w14:paraId="319A29F9" w14:textId="77777777" w:rsidR="008347AA" w:rsidRPr="00287E94" w:rsidRDefault="008347AA" w:rsidP="00283CE9">
                            <w:pPr>
                              <w:rPr>
                                <w:b/>
                                <w:color w:val="1F497D"/>
                              </w:rPr>
                            </w:pPr>
                          </w:p>
                          <w:p w14:paraId="02491106" w14:textId="77777777" w:rsidR="008347AA" w:rsidRPr="00287E94" w:rsidRDefault="008347AA" w:rsidP="00283CE9">
                            <w:pPr>
                              <w:rPr>
                                <w:b/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91A7D" id="_x0000_s1027" type="#_x0000_t202" alt="&quot;&quot;" style="position:absolute;margin-left:-2.5pt;margin-top:14.85pt;width:453.9pt;height:5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">
                <v:textbox>
                  <w:txbxContent>
                    <w:p w14:paraId="28ED45C4" w14:textId="19C9182D" w:rsidR="008347AA" w:rsidRPr="00287E94" w:rsidRDefault="008347AA" w:rsidP="00283CE9">
                      <w:pPr>
                        <w:rPr>
                          <w:color w:val="000000"/>
                        </w:rPr>
                      </w:pPr>
                      <w:r w:rsidRPr="00145B09">
                        <w:rPr>
                          <w:b/>
                          <w:color w:val="0070C0"/>
                        </w:rPr>
                        <w:t xml:space="preserve">Wards in </w:t>
                      </w:r>
                      <w:r w:rsidR="00672680" w:rsidRPr="00145B09">
                        <w:rPr>
                          <w:b/>
                          <w:color w:val="0070C0"/>
                        </w:rPr>
                        <w:t>Central:</w:t>
                      </w:r>
                      <w:r w:rsidRPr="00287E94">
                        <w:rPr>
                          <w:b/>
                          <w:color w:val="1F497D"/>
                        </w:rPr>
                        <w:t xml:space="preserve"> </w:t>
                      </w:r>
                      <w:r w:rsidRPr="00287E94">
                        <w:rPr>
                          <w:color w:val="000000"/>
                        </w:rPr>
                        <w:t xml:space="preserve">The wards do not map </w:t>
                      </w:r>
                      <w:r w:rsidR="00662C35">
                        <w:rPr>
                          <w:color w:val="000000"/>
                        </w:rPr>
                        <w:t xml:space="preserve">exactly </w:t>
                      </w:r>
                      <w:r w:rsidRPr="00287E94">
                        <w:rPr>
                          <w:color w:val="000000"/>
                        </w:rPr>
                        <w:t xml:space="preserve">to the </w:t>
                      </w:r>
                      <w:r w:rsidR="00CF4F1F">
                        <w:rPr>
                          <w:color w:val="000000"/>
                        </w:rPr>
                        <w:t>neighbourhood</w:t>
                      </w:r>
                      <w:r w:rsidRPr="00287E94">
                        <w:rPr>
                          <w:color w:val="000000"/>
                        </w:rPr>
                        <w:t xml:space="preserve"> </w:t>
                      </w:r>
                      <w:r w:rsidR="00145B09" w:rsidRPr="00287E94">
                        <w:rPr>
                          <w:color w:val="000000"/>
                        </w:rPr>
                        <w:t>boundaries;</w:t>
                      </w:r>
                      <w:r w:rsidRPr="00287E94">
                        <w:rPr>
                          <w:color w:val="000000"/>
                        </w:rPr>
                        <w:t xml:space="preserve"> </w:t>
                      </w:r>
                      <w:r w:rsidR="00044624" w:rsidRPr="00287E94">
                        <w:rPr>
                          <w:color w:val="000000"/>
                        </w:rPr>
                        <w:t>however,</w:t>
                      </w:r>
                      <w:r w:rsidRPr="00287E94">
                        <w:rPr>
                          <w:color w:val="000000"/>
                        </w:rPr>
                        <w:t xml:space="preserve"> the following wards have part of their population living within </w:t>
                      </w:r>
                      <w:r w:rsidR="00662C35">
                        <w:rPr>
                          <w:color w:val="000000"/>
                        </w:rPr>
                        <w:t>Central</w:t>
                      </w:r>
                      <w:r w:rsidRPr="00287E94">
                        <w:rPr>
                          <w:color w:val="000000"/>
                        </w:rPr>
                        <w:t xml:space="preserve">; </w:t>
                      </w:r>
                      <w:r w:rsidR="00662C35">
                        <w:rPr>
                          <w:color w:val="000000"/>
                        </w:rPr>
                        <w:t>Park 83%, Skircoat 80%, Town</w:t>
                      </w:r>
                      <w:r w:rsidR="000E666D">
                        <w:rPr>
                          <w:color w:val="000000"/>
                        </w:rPr>
                        <w:t xml:space="preserve"> 53%</w:t>
                      </w:r>
                      <w:r w:rsidR="00662C35">
                        <w:rPr>
                          <w:color w:val="000000"/>
                        </w:rPr>
                        <w:t>, Warley</w:t>
                      </w:r>
                      <w:r w:rsidR="000E666D">
                        <w:rPr>
                          <w:color w:val="000000"/>
                        </w:rPr>
                        <w:t xml:space="preserve"> 56%</w:t>
                      </w:r>
                    </w:p>
                    <w:p w14:paraId="319A29F9" w14:textId="77777777" w:rsidR="008347AA" w:rsidRPr="00287E94" w:rsidRDefault="008347AA" w:rsidP="00283CE9">
                      <w:pPr>
                        <w:rPr>
                          <w:b/>
                          <w:color w:val="1F497D"/>
                        </w:rPr>
                      </w:pPr>
                    </w:p>
                    <w:p w14:paraId="02491106" w14:textId="77777777" w:rsidR="008347AA" w:rsidRPr="00287E94" w:rsidRDefault="008347AA" w:rsidP="00283CE9">
                      <w:pPr>
                        <w:rPr>
                          <w:b/>
                          <w:color w:val="1F49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6936A6" w14:textId="77777777" w:rsidR="00283CE9" w:rsidRPr="006A1432" w:rsidRDefault="00283CE9" w:rsidP="0041356A">
      <w:pPr>
        <w:rPr>
          <w:rFonts w:ascii="Arial" w:hAnsi="Arial" w:cs="Arial"/>
          <w:b/>
          <w:color w:val="4F81BD"/>
          <w:sz w:val="24"/>
          <w:szCs w:val="24"/>
        </w:rPr>
      </w:pPr>
    </w:p>
    <w:p w14:paraId="136268EE" w14:textId="77777777" w:rsidR="00283CE9" w:rsidRPr="006A1432" w:rsidRDefault="00283CE9" w:rsidP="0041356A">
      <w:pPr>
        <w:rPr>
          <w:rFonts w:ascii="Arial" w:hAnsi="Arial" w:cs="Arial"/>
          <w:b/>
          <w:color w:val="4F81BD"/>
          <w:sz w:val="24"/>
          <w:szCs w:val="24"/>
        </w:rPr>
      </w:pPr>
    </w:p>
    <w:p w14:paraId="41603825" w14:textId="5A540679" w:rsidR="0041356A" w:rsidRPr="006A1432" w:rsidRDefault="0014493D" w:rsidP="0041356A">
      <w:pPr>
        <w:rPr>
          <w:rFonts w:ascii="Arial" w:hAnsi="Arial" w:cs="Arial"/>
          <w:b/>
          <w:color w:val="4F81BD"/>
          <w:sz w:val="24"/>
          <w:szCs w:val="24"/>
        </w:rPr>
      </w:pPr>
      <w:r w:rsidRPr="00145B09">
        <w:rPr>
          <w:rFonts w:ascii="Arial" w:hAnsi="Arial" w:cs="Arial"/>
          <w:b/>
          <w:color w:val="2E74B5" w:themeColor="accent5" w:themeShade="BF"/>
          <w:sz w:val="24"/>
          <w:szCs w:val="24"/>
        </w:rPr>
        <w:t xml:space="preserve">Population </w:t>
      </w:r>
      <w:r w:rsidR="00283CE9" w:rsidRPr="00145B09">
        <w:rPr>
          <w:rFonts w:ascii="Arial" w:hAnsi="Arial" w:cs="Arial"/>
          <w:b/>
          <w:color w:val="2E74B5" w:themeColor="accent5" w:themeShade="BF"/>
          <w:sz w:val="24"/>
          <w:szCs w:val="24"/>
        </w:rPr>
        <w:t>Characteristics</w:t>
      </w:r>
    </w:p>
    <w:p w14:paraId="15E4D107" w14:textId="2878A0D9" w:rsidR="006A1432" w:rsidRPr="00E128A1" w:rsidRDefault="006A1432" w:rsidP="006A1432">
      <w:pPr>
        <w:rPr>
          <w:rFonts w:ascii="Arial" w:hAnsi="Arial" w:cs="Arial"/>
        </w:rPr>
      </w:pPr>
      <w:r w:rsidRPr="006A1432">
        <w:rPr>
          <w:rFonts w:ascii="Arial" w:hAnsi="Arial" w:cs="Arial"/>
        </w:rPr>
        <w:t xml:space="preserve">The total </w:t>
      </w:r>
      <w:r w:rsidR="00B870B5">
        <w:rPr>
          <w:rFonts w:ascii="Arial" w:hAnsi="Arial" w:cs="Arial"/>
        </w:rPr>
        <w:t xml:space="preserve">registered </w:t>
      </w:r>
      <w:r w:rsidRPr="006A1432">
        <w:rPr>
          <w:rFonts w:ascii="Arial" w:hAnsi="Arial" w:cs="Arial"/>
        </w:rPr>
        <w:t xml:space="preserve">population of Central is </w:t>
      </w:r>
      <w:r w:rsidR="00912C1B" w:rsidRPr="00912C1B">
        <w:rPr>
          <w:rFonts w:ascii="Arial" w:hAnsi="Arial" w:cs="Arial"/>
        </w:rPr>
        <w:t>54</w:t>
      </w:r>
      <w:r w:rsidR="00912C1B">
        <w:rPr>
          <w:rFonts w:ascii="Arial" w:hAnsi="Arial" w:cs="Arial"/>
        </w:rPr>
        <w:t>,</w:t>
      </w:r>
      <w:r w:rsidR="00912C1B" w:rsidRPr="00912C1B">
        <w:rPr>
          <w:rFonts w:ascii="Arial" w:hAnsi="Arial" w:cs="Arial"/>
        </w:rPr>
        <w:t>124</w:t>
      </w:r>
      <w:r w:rsidRPr="006A1432">
        <w:rPr>
          <w:rFonts w:ascii="Arial" w:hAnsi="Arial" w:cs="Arial"/>
        </w:rPr>
        <w:t xml:space="preserve">, </w:t>
      </w:r>
      <w:r w:rsidRPr="00E128A1">
        <w:rPr>
          <w:rFonts w:ascii="Arial" w:hAnsi="Arial" w:cs="Arial"/>
        </w:rPr>
        <w:t>according to the 202</w:t>
      </w:r>
      <w:r w:rsidR="00912C1B">
        <w:rPr>
          <w:rFonts w:ascii="Arial" w:hAnsi="Arial" w:cs="Arial"/>
        </w:rPr>
        <w:t>2</w:t>
      </w:r>
      <w:r w:rsidRPr="00E128A1">
        <w:rPr>
          <w:rFonts w:ascii="Arial" w:hAnsi="Arial" w:cs="Arial"/>
        </w:rPr>
        <w:t xml:space="preserve"> GP Practice Populations.</w:t>
      </w:r>
    </w:p>
    <w:p w14:paraId="64834718" w14:textId="566A27C7" w:rsidR="006A1432" w:rsidRPr="006A1432" w:rsidRDefault="006A1432" w:rsidP="006A1432">
      <w:pPr>
        <w:rPr>
          <w:rFonts w:ascii="Arial" w:hAnsi="Arial" w:cs="Arial"/>
        </w:rPr>
      </w:pPr>
      <w:r w:rsidRPr="006A1432">
        <w:rPr>
          <w:rFonts w:ascii="Arial" w:hAnsi="Arial" w:cs="Arial"/>
        </w:rPr>
        <w:t xml:space="preserve">Central has the largest </w:t>
      </w:r>
      <w:r w:rsidR="00B870B5">
        <w:rPr>
          <w:rFonts w:ascii="Arial" w:hAnsi="Arial" w:cs="Arial"/>
        </w:rPr>
        <w:t>ethnic minority</w:t>
      </w:r>
      <w:r w:rsidRPr="006A1432">
        <w:rPr>
          <w:rFonts w:ascii="Arial" w:hAnsi="Arial" w:cs="Arial"/>
        </w:rPr>
        <w:t xml:space="preserve"> population of the localities (</w:t>
      </w:r>
      <w:r w:rsidR="00912C1B">
        <w:rPr>
          <w:rFonts w:ascii="Arial" w:hAnsi="Arial" w:cs="Arial"/>
        </w:rPr>
        <w:t>43</w:t>
      </w:r>
      <w:r w:rsidRPr="006A1432">
        <w:rPr>
          <w:rFonts w:ascii="Arial" w:hAnsi="Arial" w:cs="Arial"/>
        </w:rPr>
        <w:t>%), with Asian being the largest group, accounting for 3</w:t>
      </w:r>
      <w:r w:rsidR="00912C1B">
        <w:rPr>
          <w:rFonts w:ascii="Arial" w:hAnsi="Arial" w:cs="Arial"/>
        </w:rPr>
        <w:t>4.6</w:t>
      </w:r>
      <w:r w:rsidRPr="006A1432">
        <w:rPr>
          <w:rFonts w:ascii="Arial" w:hAnsi="Arial" w:cs="Arial"/>
        </w:rPr>
        <w:t>% of the population, followed by White Other (3.</w:t>
      </w:r>
      <w:r w:rsidR="00912C1B">
        <w:rPr>
          <w:rFonts w:ascii="Arial" w:hAnsi="Arial" w:cs="Arial"/>
        </w:rPr>
        <w:t>2</w:t>
      </w:r>
      <w:r w:rsidRPr="006A1432">
        <w:rPr>
          <w:rFonts w:ascii="Arial" w:hAnsi="Arial" w:cs="Arial"/>
        </w:rPr>
        <w:t xml:space="preserve">%). </w:t>
      </w:r>
      <w:r w:rsidR="00912C1B">
        <w:rPr>
          <w:rFonts w:ascii="Arial" w:hAnsi="Arial" w:cs="Arial"/>
        </w:rPr>
        <w:t>Just over</w:t>
      </w:r>
      <w:r w:rsidRPr="006A1432">
        <w:rPr>
          <w:rFonts w:ascii="Arial" w:hAnsi="Arial" w:cs="Arial"/>
        </w:rPr>
        <w:t xml:space="preserve"> half of primary and secondary school pupils are Asian.</w:t>
      </w:r>
    </w:p>
    <w:p w14:paraId="1B4B62CD" w14:textId="139470E7" w:rsidR="006A1432" w:rsidRPr="006A1432" w:rsidRDefault="006A1432" w:rsidP="006A1432">
      <w:pPr>
        <w:rPr>
          <w:rFonts w:ascii="Arial" w:hAnsi="Arial" w:cs="Arial"/>
        </w:rPr>
      </w:pPr>
      <w:r w:rsidRPr="006A1432">
        <w:rPr>
          <w:rFonts w:ascii="Arial" w:hAnsi="Arial" w:cs="Arial"/>
        </w:rPr>
        <w:t xml:space="preserve">According to the </w:t>
      </w:r>
      <w:r w:rsidR="00912C1B">
        <w:rPr>
          <w:rFonts w:ascii="Arial" w:hAnsi="Arial" w:cs="Arial"/>
        </w:rPr>
        <w:t xml:space="preserve">2021 </w:t>
      </w:r>
      <w:r w:rsidRPr="006A1432">
        <w:rPr>
          <w:rFonts w:ascii="Arial" w:hAnsi="Arial" w:cs="Arial"/>
        </w:rPr>
        <w:t xml:space="preserve">Census around </w:t>
      </w:r>
      <w:r w:rsidR="00912C1B">
        <w:rPr>
          <w:rFonts w:ascii="Arial" w:hAnsi="Arial" w:cs="Arial"/>
        </w:rPr>
        <w:t>4.2</w:t>
      </w:r>
      <w:r w:rsidRPr="006A1432">
        <w:rPr>
          <w:rFonts w:ascii="Arial" w:hAnsi="Arial" w:cs="Arial"/>
        </w:rPr>
        <w:t>% of the population have stated that they cannot speak English well or at all</w:t>
      </w:r>
      <w:r w:rsidR="00B870B5">
        <w:rPr>
          <w:rFonts w:ascii="Arial" w:hAnsi="Arial" w:cs="Arial"/>
        </w:rPr>
        <w:t xml:space="preserve"> which is higher than the Calderdale </w:t>
      </w:r>
      <w:r w:rsidR="000F18E6">
        <w:rPr>
          <w:rFonts w:ascii="Arial" w:hAnsi="Arial" w:cs="Arial"/>
        </w:rPr>
        <w:t>average.</w:t>
      </w:r>
    </w:p>
    <w:p w14:paraId="5F0619A6" w14:textId="5616D794" w:rsidR="00672680" w:rsidRPr="006A1432" w:rsidRDefault="00912C1B" w:rsidP="00283CE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BA26A3">
        <w:rPr>
          <w:rFonts w:ascii="Arial" w:hAnsi="Arial" w:cs="Arial"/>
          <w:color w:val="000000"/>
        </w:rPr>
        <w:t>round a</w:t>
      </w:r>
      <w:r>
        <w:rPr>
          <w:rFonts w:ascii="Arial" w:hAnsi="Arial" w:cs="Arial"/>
          <w:color w:val="000000"/>
        </w:rPr>
        <w:t xml:space="preserve"> third of the population are </w:t>
      </w:r>
      <w:r w:rsidR="006A1432" w:rsidRPr="006A1432">
        <w:rPr>
          <w:rFonts w:ascii="Arial" w:hAnsi="Arial" w:cs="Arial"/>
          <w:color w:val="000000"/>
        </w:rPr>
        <w:t xml:space="preserve">Christian </w:t>
      </w:r>
      <w:r w:rsidR="00B870B5">
        <w:rPr>
          <w:rFonts w:ascii="Arial" w:hAnsi="Arial" w:cs="Arial"/>
          <w:color w:val="000000"/>
        </w:rPr>
        <w:t>and a third are</w:t>
      </w:r>
      <w:r w:rsidR="006A1432" w:rsidRPr="006A1432">
        <w:rPr>
          <w:rFonts w:ascii="Arial" w:hAnsi="Arial" w:cs="Arial"/>
          <w:color w:val="000000"/>
        </w:rPr>
        <w:t xml:space="preserve"> Muslim.</w:t>
      </w:r>
      <w:r w:rsidR="00B870B5">
        <w:rPr>
          <w:rFonts w:ascii="Arial" w:hAnsi="Arial" w:cs="Arial"/>
          <w:color w:val="000000"/>
        </w:rPr>
        <w:t xml:space="preserve"> </w:t>
      </w:r>
    </w:p>
    <w:p w14:paraId="14E94C25" w14:textId="5176F14F" w:rsidR="006A1432" w:rsidRDefault="006A1432" w:rsidP="006A1432">
      <w:pPr>
        <w:rPr>
          <w:rFonts w:ascii="Arial" w:hAnsi="Arial" w:cs="Arial"/>
          <w:b/>
          <w:i/>
          <w:color w:val="4F81BD"/>
        </w:rPr>
      </w:pPr>
      <w:r w:rsidRPr="00145B09">
        <w:rPr>
          <w:rFonts w:ascii="Arial" w:hAnsi="Arial" w:cs="Arial"/>
          <w:b/>
          <w:i/>
          <w:color w:val="2E74B5" w:themeColor="accent5" w:themeShade="BF"/>
        </w:rPr>
        <w:lastRenderedPageBreak/>
        <w:t>Figure 1 Population Pyramid</w:t>
      </w:r>
    </w:p>
    <w:p w14:paraId="1F705673" w14:textId="46F0EA8F" w:rsidR="004432AD" w:rsidRPr="004432AD" w:rsidRDefault="000F18E6" w:rsidP="006A1432">
      <w:pPr>
        <w:rPr>
          <w:rFonts w:ascii="Arial" w:hAnsi="Arial" w:cs="Arial"/>
          <w:bCs/>
          <w:iCs/>
          <w:color w:val="4F81BD"/>
        </w:rPr>
      </w:pPr>
      <w:r>
        <w:rPr>
          <w:noProof/>
        </w:rPr>
        <w:drawing>
          <wp:inline distT="0" distB="0" distL="0" distR="0" wp14:anchorId="23635BD9" wp14:editId="458E5AFC">
            <wp:extent cx="5581650" cy="40052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88330" cy="401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837D5" w14:textId="0B139485" w:rsidR="006A1432" w:rsidRDefault="006A1432" w:rsidP="006A1432">
      <w:pPr>
        <w:rPr>
          <w:rFonts w:ascii="Arial" w:hAnsi="Arial" w:cs="Arial"/>
          <w:bCs/>
          <w:sz w:val="18"/>
          <w:szCs w:val="18"/>
        </w:rPr>
      </w:pPr>
      <w:r w:rsidRPr="00F7024C">
        <w:rPr>
          <w:rFonts w:ascii="Arial" w:hAnsi="Arial" w:cs="Arial"/>
          <w:bCs/>
          <w:sz w:val="18"/>
          <w:szCs w:val="18"/>
        </w:rPr>
        <w:t xml:space="preserve">Source: GP Practice Populations </w:t>
      </w:r>
      <w:r w:rsidR="00F7024C" w:rsidRPr="00F7024C">
        <w:rPr>
          <w:rFonts w:ascii="Arial" w:hAnsi="Arial" w:cs="Arial"/>
          <w:bCs/>
          <w:sz w:val="18"/>
          <w:szCs w:val="18"/>
        </w:rPr>
        <w:t>202</w:t>
      </w:r>
      <w:r w:rsidR="00BA26A3">
        <w:rPr>
          <w:rFonts w:ascii="Arial" w:hAnsi="Arial" w:cs="Arial"/>
          <w:bCs/>
          <w:sz w:val="18"/>
          <w:szCs w:val="18"/>
        </w:rPr>
        <w:t>2</w:t>
      </w:r>
    </w:p>
    <w:p w14:paraId="4B22B35E" w14:textId="684A46A5" w:rsidR="000F18E6" w:rsidRPr="003B20E9" w:rsidRDefault="000F18E6" w:rsidP="000F18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population pyramid shows that Central has a</w:t>
      </w:r>
      <w:r w:rsidR="00EC5B0E">
        <w:rPr>
          <w:rFonts w:ascii="Arial" w:hAnsi="Arial" w:cs="Arial"/>
        </w:rPr>
        <w:t xml:space="preserve"> higher</w:t>
      </w:r>
      <w:r>
        <w:rPr>
          <w:rFonts w:ascii="Arial" w:hAnsi="Arial" w:cs="Arial"/>
        </w:rPr>
        <w:t xml:space="preserve"> </w:t>
      </w:r>
      <w:r w:rsidR="00A90590">
        <w:rPr>
          <w:rFonts w:ascii="Arial" w:hAnsi="Arial" w:cs="Arial"/>
        </w:rPr>
        <w:t xml:space="preserve">proportion of </w:t>
      </w:r>
      <w:r w:rsidR="00EC5B0E">
        <w:rPr>
          <w:rFonts w:ascii="Arial" w:hAnsi="Arial" w:cs="Arial"/>
        </w:rPr>
        <w:t xml:space="preserve">those aged between </w:t>
      </w:r>
      <w:r w:rsidR="00A90590">
        <w:rPr>
          <w:rFonts w:ascii="Arial" w:hAnsi="Arial" w:cs="Arial"/>
        </w:rPr>
        <w:t>0</w:t>
      </w:r>
      <w:r w:rsidR="005F416A">
        <w:rPr>
          <w:rFonts w:ascii="Arial" w:hAnsi="Arial" w:cs="Arial"/>
        </w:rPr>
        <w:t xml:space="preserve"> to </w:t>
      </w:r>
      <w:r w:rsidR="00EC5B0E">
        <w:rPr>
          <w:rFonts w:ascii="Arial" w:hAnsi="Arial" w:cs="Arial"/>
        </w:rPr>
        <w:t>44 when</w:t>
      </w:r>
      <w:r>
        <w:rPr>
          <w:rFonts w:ascii="Arial" w:hAnsi="Arial" w:cs="Arial"/>
        </w:rPr>
        <w:t xml:space="preserve"> compared to Calderdale (Pink line – West Yorkshire ICB – 02T)</w:t>
      </w:r>
      <w:r w:rsidR="00EC5B0E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 </w:t>
      </w:r>
      <w:r w:rsidR="00EC5B0E">
        <w:rPr>
          <w:rFonts w:ascii="Arial" w:hAnsi="Arial" w:cs="Arial"/>
        </w:rPr>
        <w:t xml:space="preserve">There </w:t>
      </w:r>
      <w:r w:rsidR="001507E2">
        <w:rPr>
          <w:rFonts w:ascii="Arial" w:hAnsi="Arial" w:cs="Arial"/>
        </w:rPr>
        <w:t>is a</w:t>
      </w:r>
      <w:r w:rsidR="00A90590">
        <w:rPr>
          <w:rFonts w:ascii="Arial" w:hAnsi="Arial" w:cs="Arial"/>
        </w:rPr>
        <w:t xml:space="preserve"> lower proportion of </w:t>
      </w:r>
      <w:r w:rsidR="00EC5B0E">
        <w:rPr>
          <w:rFonts w:ascii="Arial" w:hAnsi="Arial" w:cs="Arial"/>
        </w:rPr>
        <w:t xml:space="preserve">those aged </w:t>
      </w:r>
      <w:r w:rsidR="00A90590">
        <w:rPr>
          <w:rFonts w:ascii="Arial" w:hAnsi="Arial" w:cs="Arial"/>
        </w:rPr>
        <w:t>50</w:t>
      </w:r>
      <w:r w:rsidR="005F416A">
        <w:rPr>
          <w:rFonts w:ascii="Arial" w:hAnsi="Arial" w:cs="Arial"/>
        </w:rPr>
        <w:t xml:space="preserve"> to </w:t>
      </w:r>
      <w:r w:rsidR="00A90590">
        <w:rPr>
          <w:rFonts w:ascii="Arial" w:hAnsi="Arial" w:cs="Arial"/>
        </w:rPr>
        <w:t>79 years when compared to Calderdale.</w:t>
      </w:r>
    </w:p>
    <w:p w14:paraId="0A697E69" w14:textId="0812E148" w:rsidR="00283CE9" w:rsidRPr="006A1432" w:rsidRDefault="00283CE9" w:rsidP="00283CE9">
      <w:pPr>
        <w:rPr>
          <w:rFonts w:ascii="Arial" w:hAnsi="Arial" w:cs="Arial"/>
          <w:b/>
          <w:color w:val="0070C0"/>
          <w:sz w:val="24"/>
          <w:szCs w:val="24"/>
        </w:rPr>
      </w:pPr>
      <w:r w:rsidRPr="006A1432">
        <w:rPr>
          <w:rFonts w:ascii="Arial" w:hAnsi="Arial" w:cs="Arial"/>
          <w:b/>
          <w:color w:val="0070C0"/>
          <w:sz w:val="24"/>
          <w:szCs w:val="24"/>
        </w:rPr>
        <w:t>Wider determinants of Health</w:t>
      </w:r>
    </w:p>
    <w:p w14:paraId="0C234150" w14:textId="7C528198" w:rsidR="00BD7DD1" w:rsidRPr="006A1432" w:rsidRDefault="00BD7DD1" w:rsidP="0041356A">
      <w:pPr>
        <w:rPr>
          <w:rFonts w:ascii="Arial" w:hAnsi="Arial" w:cs="Arial"/>
          <w:color w:val="000000"/>
        </w:rPr>
      </w:pPr>
      <w:r w:rsidRPr="006A1432">
        <w:rPr>
          <w:rFonts w:ascii="Arial" w:hAnsi="Arial" w:cs="Arial"/>
          <w:color w:val="000000"/>
        </w:rPr>
        <w:t xml:space="preserve">Central is a relatively deprived </w:t>
      </w:r>
      <w:r w:rsidR="008C6295">
        <w:rPr>
          <w:rFonts w:ascii="Arial" w:hAnsi="Arial" w:cs="Arial"/>
          <w:color w:val="000000"/>
        </w:rPr>
        <w:t>area</w:t>
      </w:r>
      <w:r w:rsidRPr="006A1432">
        <w:rPr>
          <w:rFonts w:ascii="Arial" w:hAnsi="Arial" w:cs="Arial"/>
          <w:color w:val="000000"/>
        </w:rPr>
        <w:t xml:space="preserve"> with around 1 in 5 of its households claiming council tax reduction and </w:t>
      </w:r>
      <w:r w:rsidR="008C6295">
        <w:rPr>
          <w:rFonts w:ascii="Arial" w:hAnsi="Arial" w:cs="Arial"/>
          <w:color w:val="000000"/>
        </w:rPr>
        <w:t>over 1 in 4</w:t>
      </w:r>
      <w:r w:rsidRPr="006A1432">
        <w:rPr>
          <w:rFonts w:ascii="Arial" w:hAnsi="Arial" w:cs="Arial"/>
          <w:color w:val="000000"/>
        </w:rPr>
        <w:t xml:space="preserve"> claiming </w:t>
      </w:r>
      <w:r w:rsidR="008C6295">
        <w:rPr>
          <w:rFonts w:ascii="Arial" w:hAnsi="Arial" w:cs="Arial"/>
          <w:color w:val="000000"/>
        </w:rPr>
        <w:t>Universal credit</w:t>
      </w:r>
      <w:r w:rsidRPr="006A1432">
        <w:rPr>
          <w:rFonts w:ascii="Arial" w:hAnsi="Arial" w:cs="Arial"/>
          <w:color w:val="000000"/>
        </w:rPr>
        <w:t xml:space="preserve">. </w:t>
      </w:r>
      <w:r w:rsidR="00F7024C">
        <w:rPr>
          <w:rFonts w:ascii="Arial" w:hAnsi="Arial" w:cs="Arial"/>
          <w:color w:val="000000"/>
        </w:rPr>
        <w:t>25</w:t>
      </w:r>
      <w:r w:rsidR="008C6295">
        <w:rPr>
          <w:rFonts w:ascii="Arial" w:hAnsi="Arial" w:cs="Arial"/>
          <w:color w:val="000000"/>
        </w:rPr>
        <w:t>.9</w:t>
      </w:r>
      <w:r w:rsidRPr="006A1432">
        <w:rPr>
          <w:rFonts w:ascii="Arial" w:hAnsi="Arial" w:cs="Arial"/>
          <w:color w:val="000000"/>
        </w:rPr>
        <w:t xml:space="preserve">% of primary school children in the area are eligible for free school meals, </w:t>
      </w:r>
      <w:r w:rsidR="00EC5B0E">
        <w:rPr>
          <w:rFonts w:ascii="Arial" w:hAnsi="Arial" w:cs="Arial"/>
          <w:color w:val="000000"/>
        </w:rPr>
        <w:t xml:space="preserve">which is </w:t>
      </w:r>
      <w:proofErr w:type="gramStart"/>
      <w:r w:rsidR="00F7024C">
        <w:rPr>
          <w:rFonts w:ascii="Arial" w:hAnsi="Arial" w:cs="Arial"/>
          <w:color w:val="000000"/>
        </w:rPr>
        <w:t>similar to</w:t>
      </w:r>
      <w:proofErr w:type="gramEnd"/>
      <w:r w:rsidRPr="006A1432">
        <w:rPr>
          <w:rFonts w:ascii="Arial" w:hAnsi="Arial" w:cs="Arial"/>
          <w:color w:val="000000"/>
        </w:rPr>
        <w:t xml:space="preserve"> the Calderdale average. </w:t>
      </w:r>
      <w:r w:rsidR="008815ED">
        <w:rPr>
          <w:rFonts w:ascii="Arial" w:hAnsi="Arial" w:cs="Arial"/>
          <w:color w:val="000000"/>
        </w:rPr>
        <w:t>However,</w:t>
      </w:r>
      <w:r w:rsidR="00F7024C">
        <w:rPr>
          <w:rFonts w:ascii="Arial" w:hAnsi="Arial" w:cs="Arial"/>
          <w:color w:val="000000"/>
        </w:rPr>
        <w:t xml:space="preserve"> b</w:t>
      </w:r>
      <w:r w:rsidR="0030362B" w:rsidRPr="006A1432">
        <w:rPr>
          <w:rFonts w:ascii="Arial" w:hAnsi="Arial" w:cs="Arial"/>
          <w:color w:val="000000"/>
        </w:rPr>
        <w:t xml:space="preserve">y </w:t>
      </w:r>
      <w:r w:rsidRPr="006A1432">
        <w:rPr>
          <w:rFonts w:ascii="Arial" w:hAnsi="Arial" w:cs="Arial"/>
          <w:color w:val="000000"/>
        </w:rPr>
        <w:t xml:space="preserve">secondary school this has increased to </w:t>
      </w:r>
      <w:r w:rsidR="00F7024C">
        <w:rPr>
          <w:rFonts w:ascii="Arial" w:hAnsi="Arial" w:cs="Arial"/>
          <w:color w:val="000000"/>
        </w:rPr>
        <w:t>2</w:t>
      </w:r>
      <w:r w:rsidR="008C6295">
        <w:rPr>
          <w:rFonts w:ascii="Arial" w:hAnsi="Arial" w:cs="Arial"/>
          <w:color w:val="000000"/>
        </w:rPr>
        <w:t>9.5</w:t>
      </w:r>
      <w:r w:rsidR="00F7024C">
        <w:rPr>
          <w:rFonts w:ascii="Arial" w:hAnsi="Arial" w:cs="Arial"/>
          <w:color w:val="000000"/>
        </w:rPr>
        <w:t>%,</w:t>
      </w:r>
      <w:r w:rsidRPr="006A1432">
        <w:rPr>
          <w:rFonts w:ascii="Arial" w:hAnsi="Arial" w:cs="Arial"/>
          <w:color w:val="000000"/>
        </w:rPr>
        <w:t xml:space="preserve"> which is </w:t>
      </w:r>
      <w:r w:rsidR="00F7024C">
        <w:rPr>
          <w:rFonts w:ascii="Arial" w:hAnsi="Arial" w:cs="Arial"/>
          <w:color w:val="000000"/>
        </w:rPr>
        <w:t xml:space="preserve">significantly </w:t>
      </w:r>
      <w:r w:rsidRPr="006A1432">
        <w:rPr>
          <w:rFonts w:ascii="Arial" w:hAnsi="Arial" w:cs="Arial"/>
          <w:color w:val="000000"/>
        </w:rPr>
        <w:t>higher than the Calderdale average.</w:t>
      </w:r>
    </w:p>
    <w:p w14:paraId="3F8D5242" w14:textId="77777777" w:rsidR="007C270C" w:rsidRPr="006A1432" w:rsidRDefault="00C9576A" w:rsidP="0041356A">
      <w:pPr>
        <w:rPr>
          <w:rFonts w:ascii="Arial" w:hAnsi="Arial" w:cs="Arial"/>
          <w:b/>
          <w:color w:val="4F81BD"/>
          <w:sz w:val="24"/>
          <w:szCs w:val="24"/>
        </w:rPr>
      </w:pPr>
      <w:r w:rsidRPr="00145B09">
        <w:rPr>
          <w:rFonts w:ascii="Arial" w:hAnsi="Arial" w:cs="Arial"/>
          <w:b/>
          <w:color w:val="2E74B5" w:themeColor="accent5" w:themeShade="BF"/>
          <w:sz w:val="24"/>
          <w:szCs w:val="24"/>
        </w:rPr>
        <w:t>Starting Well</w:t>
      </w:r>
    </w:p>
    <w:p w14:paraId="2B9990A9" w14:textId="6EE30B70" w:rsidR="00A67964" w:rsidRPr="006A1432" w:rsidRDefault="0030362B" w:rsidP="0041356A">
      <w:pPr>
        <w:rPr>
          <w:rFonts w:ascii="Arial" w:hAnsi="Arial" w:cs="Arial"/>
        </w:rPr>
      </w:pPr>
      <w:r w:rsidRPr="006A1432">
        <w:rPr>
          <w:rFonts w:ascii="Arial" w:hAnsi="Arial" w:cs="Arial"/>
        </w:rPr>
        <w:t xml:space="preserve">The fertility rate </w:t>
      </w:r>
      <w:r w:rsidR="008C6295">
        <w:rPr>
          <w:rFonts w:ascii="Arial" w:hAnsi="Arial" w:cs="Arial"/>
        </w:rPr>
        <w:t xml:space="preserve">in </w:t>
      </w:r>
      <w:r w:rsidR="0074315F">
        <w:rPr>
          <w:rFonts w:ascii="Arial" w:hAnsi="Arial" w:cs="Arial"/>
        </w:rPr>
        <w:t>C</w:t>
      </w:r>
      <w:r w:rsidR="008C6295">
        <w:rPr>
          <w:rFonts w:ascii="Arial" w:hAnsi="Arial" w:cs="Arial"/>
        </w:rPr>
        <w:t xml:space="preserve">entral </w:t>
      </w:r>
      <w:r w:rsidRPr="006A1432">
        <w:rPr>
          <w:rFonts w:ascii="Arial" w:hAnsi="Arial" w:cs="Arial"/>
        </w:rPr>
        <w:t xml:space="preserve">is </w:t>
      </w:r>
      <w:r w:rsidR="008C6295">
        <w:rPr>
          <w:rFonts w:ascii="Arial" w:hAnsi="Arial" w:cs="Arial"/>
        </w:rPr>
        <w:t xml:space="preserve">significantly </w:t>
      </w:r>
      <w:r w:rsidRPr="006A1432">
        <w:rPr>
          <w:rFonts w:ascii="Arial" w:hAnsi="Arial" w:cs="Arial"/>
        </w:rPr>
        <w:t>higher</w:t>
      </w:r>
      <w:r w:rsidR="00C9576A" w:rsidRPr="006A1432">
        <w:rPr>
          <w:rFonts w:ascii="Arial" w:hAnsi="Arial" w:cs="Arial"/>
        </w:rPr>
        <w:t xml:space="preserve"> than the Calderdale</w:t>
      </w:r>
      <w:r w:rsidR="00C2378F" w:rsidRPr="006A1432">
        <w:rPr>
          <w:rFonts w:ascii="Arial" w:hAnsi="Arial" w:cs="Arial"/>
        </w:rPr>
        <w:t xml:space="preserve"> average, </w:t>
      </w:r>
      <w:r w:rsidR="00C9576A" w:rsidRPr="006A1432">
        <w:rPr>
          <w:rFonts w:ascii="Arial" w:hAnsi="Arial" w:cs="Arial"/>
        </w:rPr>
        <w:t xml:space="preserve">with </w:t>
      </w:r>
      <w:r w:rsidRPr="006A1432">
        <w:rPr>
          <w:rFonts w:ascii="Arial" w:hAnsi="Arial" w:cs="Arial"/>
        </w:rPr>
        <w:t xml:space="preserve">around </w:t>
      </w:r>
      <w:r w:rsidR="00F7024C">
        <w:rPr>
          <w:rFonts w:ascii="Arial" w:hAnsi="Arial" w:cs="Arial"/>
        </w:rPr>
        <w:t>6</w:t>
      </w:r>
      <w:r w:rsidR="008C6295">
        <w:rPr>
          <w:rFonts w:ascii="Arial" w:hAnsi="Arial" w:cs="Arial"/>
        </w:rPr>
        <w:t>68</w:t>
      </w:r>
      <w:r w:rsidR="00C9576A" w:rsidRPr="006A1432">
        <w:rPr>
          <w:rFonts w:ascii="Arial" w:hAnsi="Arial" w:cs="Arial"/>
        </w:rPr>
        <w:t xml:space="preserve"> babies being</w:t>
      </w:r>
      <w:r w:rsidR="00AD56B6" w:rsidRPr="006A1432">
        <w:rPr>
          <w:rFonts w:ascii="Arial" w:hAnsi="Arial" w:cs="Arial"/>
        </w:rPr>
        <w:t xml:space="preserve"> bor</w:t>
      </w:r>
      <w:r w:rsidR="00C9576A" w:rsidRPr="006A1432">
        <w:rPr>
          <w:rFonts w:ascii="Arial" w:hAnsi="Arial" w:cs="Arial"/>
        </w:rPr>
        <w:t xml:space="preserve">n </w:t>
      </w:r>
      <w:r w:rsidR="00A67964" w:rsidRPr="006A1432">
        <w:rPr>
          <w:rFonts w:ascii="Arial" w:hAnsi="Arial" w:cs="Arial"/>
        </w:rPr>
        <w:t xml:space="preserve">each year. </w:t>
      </w:r>
    </w:p>
    <w:p w14:paraId="3D4F5F56" w14:textId="09765FD5" w:rsidR="00777CDD" w:rsidRPr="006A1432" w:rsidRDefault="00777CDD" w:rsidP="00777CDD">
      <w:pPr>
        <w:rPr>
          <w:rFonts w:ascii="Arial" w:hAnsi="Arial" w:cs="Arial"/>
        </w:rPr>
      </w:pPr>
      <w:r w:rsidRPr="006A1432">
        <w:rPr>
          <w:rFonts w:ascii="Arial" w:hAnsi="Arial" w:cs="Arial"/>
        </w:rPr>
        <w:t xml:space="preserve">The proportion of women still smoking at the time of delivery is </w:t>
      </w:r>
      <w:proofErr w:type="gramStart"/>
      <w:r w:rsidR="009E6E91">
        <w:rPr>
          <w:rFonts w:ascii="Arial" w:hAnsi="Arial" w:cs="Arial"/>
        </w:rPr>
        <w:t>similar to</w:t>
      </w:r>
      <w:proofErr w:type="gramEnd"/>
      <w:r w:rsidRPr="006A1432">
        <w:rPr>
          <w:rFonts w:ascii="Arial" w:hAnsi="Arial" w:cs="Arial"/>
        </w:rPr>
        <w:t xml:space="preserve"> the Calderdale average</w:t>
      </w:r>
      <w:r w:rsidR="00591B31" w:rsidRPr="006A1432">
        <w:rPr>
          <w:rFonts w:ascii="Arial" w:hAnsi="Arial" w:cs="Arial"/>
        </w:rPr>
        <w:t xml:space="preserve"> </w:t>
      </w:r>
      <w:r w:rsidR="0030362B" w:rsidRPr="006A1432">
        <w:rPr>
          <w:rFonts w:ascii="Arial" w:hAnsi="Arial" w:cs="Arial"/>
        </w:rPr>
        <w:t xml:space="preserve">with 1 in </w:t>
      </w:r>
      <w:r w:rsidR="008C6295">
        <w:rPr>
          <w:rFonts w:ascii="Arial" w:hAnsi="Arial" w:cs="Arial"/>
        </w:rPr>
        <w:t>9</w:t>
      </w:r>
      <w:r w:rsidRPr="006A1432">
        <w:rPr>
          <w:rFonts w:ascii="Arial" w:hAnsi="Arial" w:cs="Arial"/>
        </w:rPr>
        <w:t xml:space="preserve"> </w:t>
      </w:r>
      <w:r w:rsidR="008740B8" w:rsidRPr="006A1432">
        <w:rPr>
          <w:rFonts w:ascii="Arial" w:hAnsi="Arial" w:cs="Arial"/>
        </w:rPr>
        <w:t>still smoking.</w:t>
      </w:r>
    </w:p>
    <w:p w14:paraId="29094C12" w14:textId="47C40A6D" w:rsidR="007C270C" w:rsidRPr="006A1432" w:rsidRDefault="00A67964" w:rsidP="0041356A">
      <w:pPr>
        <w:rPr>
          <w:rFonts w:ascii="Arial" w:hAnsi="Arial" w:cs="Arial"/>
        </w:rPr>
      </w:pPr>
      <w:r w:rsidRPr="006A1432">
        <w:rPr>
          <w:rFonts w:ascii="Arial" w:hAnsi="Arial" w:cs="Arial"/>
        </w:rPr>
        <w:lastRenderedPageBreak/>
        <w:t>The percentage of babies born with a low birth we</w:t>
      </w:r>
      <w:r w:rsidR="00AD56B6" w:rsidRPr="006A1432">
        <w:rPr>
          <w:rFonts w:ascii="Arial" w:hAnsi="Arial" w:cs="Arial"/>
        </w:rPr>
        <w:t>i</w:t>
      </w:r>
      <w:r w:rsidR="00C91300" w:rsidRPr="006A1432">
        <w:rPr>
          <w:rFonts w:ascii="Arial" w:hAnsi="Arial" w:cs="Arial"/>
        </w:rPr>
        <w:t>ght</w:t>
      </w:r>
      <w:r w:rsidR="00F92D69" w:rsidRPr="006A1432">
        <w:rPr>
          <w:rFonts w:ascii="Arial" w:hAnsi="Arial" w:cs="Arial"/>
        </w:rPr>
        <w:t xml:space="preserve"> (less than</w:t>
      </w:r>
      <w:r w:rsidR="0030362B" w:rsidRPr="006A1432">
        <w:rPr>
          <w:rFonts w:ascii="Arial" w:hAnsi="Arial" w:cs="Arial"/>
        </w:rPr>
        <w:t xml:space="preserve"> 2500g) is</w:t>
      </w:r>
      <w:r w:rsidR="009E6E91">
        <w:rPr>
          <w:rFonts w:ascii="Arial" w:hAnsi="Arial" w:cs="Arial"/>
        </w:rPr>
        <w:t xml:space="preserve"> significantly</w:t>
      </w:r>
      <w:r w:rsidR="0030362B" w:rsidRPr="006A1432">
        <w:rPr>
          <w:rFonts w:ascii="Arial" w:hAnsi="Arial" w:cs="Arial"/>
        </w:rPr>
        <w:t xml:space="preserve"> higher</w:t>
      </w:r>
      <w:r w:rsidR="00F92D69" w:rsidRPr="006A1432">
        <w:rPr>
          <w:rFonts w:ascii="Arial" w:hAnsi="Arial" w:cs="Arial"/>
        </w:rPr>
        <w:t xml:space="preserve"> than</w:t>
      </w:r>
      <w:r w:rsidR="00C91300" w:rsidRPr="006A1432">
        <w:rPr>
          <w:rFonts w:ascii="Arial" w:hAnsi="Arial" w:cs="Arial"/>
        </w:rPr>
        <w:t xml:space="preserve"> the </w:t>
      </w:r>
      <w:r w:rsidRPr="006A1432">
        <w:rPr>
          <w:rFonts w:ascii="Arial" w:hAnsi="Arial" w:cs="Arial"/>
        </w:rPr>
        <w:t>Calde</w:t>
      </w:r>
      <w:r w:rsidR="00AD56B6" w:rsidRPr="006A1432">
        <w:rPr>
          <w:rFonts w:ascii="Arial" w:hAnsi="Arial" w:cs="Arial"/>
        </w:rPr>
        <w:t>rdale</w:t>
      </w:r>
      <w:r w:rsidR="00C91300" w:rsidRPr="006A1432">
        <w:rPr>
          <w:rFonts w:ascii="Arial" w:hAnsi="Arial" w:cs="Arial"/>
        </w:rPr>
        <w:t xml:space="preserve"> average</w:t>
      </w:r>
      <w:r w:rsidR="00044624" w:rsidRPr="006A1432">
        <w:rPr>
          <w:rFonts w:ascii="Arial" w:hAnsi="Arial" w:cs="Arial"/>
        </w:rPr>
        <w:t xml:space="preserve">. </w:t>
      </w:r>
      <w:r w:rsidRPr="006A1432">
        <w:rPr>
          <w:rFonts w:ascii="Arial" w:hAnsi="Arial" w:cs="Arial"/>
        </w:rPr>
        <w:t>Approx</w:t>
      </w:r>
      <w:r w:rsidR="0030362B" w:rsidRPr="006A1432">
        <w:rPr>
          <w:rFonts w:ascii="Arial" w:hAnsi="Arial" w:cs="Arial"/>
        </w:rPr>
        <w:t xml:space="preserve">. </w:t>
      </w:r>
      <w:r w:rsidR="009E6E91">
        <w:rPr>
          <w:rFonts w:ascii="Arial" w:hAnsi="Arial" w:cs="Arial"/>
        </w:rPr>
        <w:t>5</w:t>
      </w:r>
      <w:r w:rsidR="0074315F">
        <w:rPr>
          <w:rFonts w:ascii="Arial" w:hAnsi="Arial" w:cs="Arial"/>
        </w:rPr>
        <w:t>3</w:t>
      </w:r>
      <w:r w:rsidR="00AD56B6" w:rsidRPr="006A1432">
        <w:rPr>
          <w:rFonts w:ascii="Arial" w:hAnsi="Arial" w:cs="Arial"/>
        </w:rPr>
        <w:t xml:space="preserve"> ba</w:t>
      </w:r>
      <w:r w:rsidR="00C2378F" w:rsidRPr="006A1432">
        <w:rPr>
          <w:rFonts w:ascii="Arial" w:hAnsi="Arial" w:cs="Arial"/>
        </w:rPr>
        <w:t>bies in</w:t>
      </w:r>
      <w:r w:rsidR="0030362B" w:rsidRPr="006A1432">
        <w:rPr>
          <w:rFonts w:ascii="Arial" w:hAnsi="Arial" w:cs="Arial"/>
        </w:rPr>
        <w:t xml:space="preserve"> Central</w:t>
      </w:r>
      <w:r w:rsidR="00165D31" w:rsidRPr="006A1432">
        <w:rPr>
          <w:rFonts w:ascii="Arial" w:hAnsi="Arial" w:cs="Arial"/>
        </w:rPr>
        <w:t xml:space="preserve"> are born with a low birth weight each year.</w:t>
      </w:r>
      <w:r w:rsidRPr="006A1432">
        <w:rPr>
          <w:rFonts w:ascii="Arial" w:hAnsi="Arial" w:cs="Arial"/>
        </w:rPr>
        <w:t xml:space="preserve"> </w:t>
      </w:r>
    </w:p>
    <w:p w14:paraId="64B8229B" w14:textId="34F8F897" w:rsidR="00C91300" w:rsidRPr="006A1432" w:rsidRDefault="0074315F" w:rsidP="0041356A">
      <w:pPr>
        <w:rPr>
          <w:rFonts w:ascii="Arial" w:hAnsi="Arial" w:cs="Arial"/>
        </w:rPr>
      </w:pPr>
      <w:r>
        <w:rPr>
          <w:rFonts w:ascii="Arial" w:hAnsi="Arial" w:cs="Arial"/>
        </w:rPr>
        <w:t>59</w:t>
      </w:r>
      <w:r w:rsidR="00407287" w:rsidRPr="006A1432">
        <w:rPr>
          <w:rFonts w:ascii="Arial" w:hAnsi="Arial" w:cs="Arial"/>
        </w:rPr>
        <w:t xml:space="preserve">% of </w:t>
      </w:r>
      <w:r w:rsidR="00145B09" w:rsidRPr="006A1432">
        <w:rPr>
          <w:rFonts w:ascii="Arial" w:hAnsi="Arial" w:cs="Arial"/>
        </w:rPr>
        <w:t>mothers</w:t>
      </w:r>
      <w:r w:rsidR="00407287" w:rsidRPr="006A1432">
        <w:rPr>
          <w:rFonts w:ascii="Arial" w:hAnsi="Arial" w:cs="Arial"/>
        </w:rPr>
        <w:t xml:space="preserve"> breastfeed followin</w:t>
      </w:r>
      <w:r w:rsidR="0030362B" w:rsidRPr="006A1432">
        <w:rPr>
          <w:rFonts w:ascii="Arial" w:hAnsi="Arial" w:cs="Arial"/>
        </w:rPr>
        <w:t xml:space="preserve">g delivery, </w:t>
      </w:r>
      <w:r>
        <w:rPr>
          <w:rFonts w:ascii="Arial" w:hAnsi="Arial" w:cs="Arial"/>
        </w:rPr>
        <w:t xml:space="preserve">remaining at a similar rate </w:t>
      </w:r>
      <w:r w:rsidR="00407287" w:rsidRPr="006A1432">
        <w:rPr>
          <w:rFonts w:ascii="Arial" w:hAnsi="Arial" w:cs="Arial"/>
        </w:rPr>
        <w:t>by the time mother and baby are disc</w:t>
      </w:r>
      <w:r w:rsidR="0030362B" w:rsidRPr="006A1432">
        <w:rPr>
          <w:rFonts w:ascii="Arial" w:hAnsi="Arial" w:cs="Arial"/>
        </w:rPr>
        <w:t xml:space="preserve">harged from hospital and </w:t>
      </w:r>
      <w:r w:rsidR="00604DC1">
        <w:rPr>
          <w:rFonts w:ascii="Arial" w:hAnsi="Arial" w:cs="Arial"/>
        </w:rPr>
        <w:t>5</w:t>
      </w:r>
      <w:r>
        <w:rPr>
          <w:rFonts w:ascii="Arial" w:hAnsi="Arial" w:cs="Arial"/>
        </w:rPr>
        <w:t>3.5</w:t>
      </w:r>
      <w:r w:rsidR="00407287" w:rsidRPr="006A1432">
        <w:rPr>
          <w:rFonts w:ascii="Arial" w:hAnsi="Arial" w:cs="Arial"/>
        </w:rPr>
        <w:t xml:space="preserve">% </w:t>
      </w:r>
      <w:r w:rsidR="00B96DCE" w:rsidRPr="006A1432">
        <w:rPr>
          <w:rFonts w:ascii="Arial" w:hAnsi="Arial" w:cs="Arial"/>
        </w:rPr>
        <w:t xml:space="preserve">are still breastfeeding </w:t>
      </w:r>
      <w:r w:rsidR="00407287" w:rsidRPr="006A1432">
        <w:rPr>
          <w:rFonts w:ascii="Arial" w:hAnsi="Arial" w:cs="Arial"/>
        </w:rPr>
        <w:t>between</w:t>
      </w:r>
      <w:r w:rsidR="007C5158" w:rsidRPr="006A1432">
        <w:rPr>
          <w:rFonts w:ascii="Arial" w:hAnsi="Arial" w:cs="Arial"/>
        </w:rPr>
        <w:t xml:space="preserve"> </w:t>
      </w:r>
      <w:proofErr w:type="gramStart"/>
      <w:r w:rsidR="007C5158" w:rsidRPr="006A1432">
        <w:rPr>
          <w:rFonts w:ascii="Arial" w:hAnsi="Arial" w:cs="Arial"/>
        </w:rPr>
        <w:t>6 an</w:t>
      </w:r>
      <w:r w:rsidR="0030362B" w:rsidRPr="006A1432">
        <w:rPr>
          <w:rFonts w:ascii="Arial" w:hAnsi="Arial" w:cs="Arial"/>
        </w:rPr>
        <w:t>d 8 weeks</w:t>
      </w:r>
      <w:proofErr w:type="gramEnd"/>
      <w:r w:rsidR="0030362B" w:rsidRPr="006A1432">
        <w:rPr>
          <w:rFonts w:ascii="Arial" w:hAnsi="Arial" w:cs="Arial"/>
        </w:rPr>
        <w:t xml:space="preserve"> post birth</w:t>
      </w:r>
      <w:r w:rsidR="00044624" w:rsidRPr="006A1432">
        <w:rPr>
          <w:rFonts w:ascii="Arial" w:hAnsi="Arial" w:cs="Arial"/>
        </w:rPr>
        <w:t xml:space="preserve">. </w:t>
      </w:r>
      <w:r w:rsidR="0030362B" w:rsidRPr="006A1432">
        <w:rPr>
          <w:rFonts w:ascii="Arial" w:hAnsi="Arial" w:cs="Arial"/>
        </w:rPr>
        <w:t>T</w:t>
      </w:r>
      <w:r w:rsidR="0000429C" w:rsidRPr="006A1432">
        <w:rPr>
          <w:rFonts w:ascii="Arial" w:hAnsi="Arial" w:cs="Arial"/>
        </w:rPr>
        <w:t>h</w:t>
      </w:r>
      <w:r w:rsidR="007C5158" w:rsidRPr="006A1432">
        <w:rPr>
          <w:rFonts w:ascii="Arial" w:hAnsi="Arial" w:cs="Arial"/>
        </w:rPr>
        <w:t>es</w:t>
      </w:r>
      <w:r w:rsidR="0030362B" w:rsidRPr="006A1432">
        <w:rPr>
          <w:rFonts w:ascii="Arial" w:hAnsi="Arial" w:cs="Arial"/>
        </w:rPr>
        <w:t xml:space="preserve">e rates are </w:t>
      </w:r>
      <w:proofErr w:type="gramStart"/>
      <w:r>
        <w:rPr>
          <w:rFonts w:ascii="Arial" w:hAnsi="Arial" w:cs="Arial"/>
        </w:rPr>
        <w:t>similar to</w:t>
      </w:r>
      <w:proofErr w:type="gramEnd"/>
      <w:r>
        <w:rPr>
          <w:rFonts w:ascii="Arial" w:hAnsi="Arial" w:cs="Arial"/>
        </w:rPr>
        <w:t xml:space="preserve"> the </w:t>
      </w:r>
      <w:r w:rsidR="0000429C" w:rsidRPr="006A1432">
        <w:rPr>
          <w:rFonts w:ascii="Arial" w:hAnsi="Arial" w:cs="Arial"/>
        </w:rPr>
        <w:t>Calderdale average.</w:t>
      </w:r>
    </w:p>
    <w:p w14:paraId="07148CDF" w14:textId="69E18D64" w:rsidR="00C91300" w:rsidRPr="006A1432" w:rsidRDefault="00C91300" w:rsidP="00C91300">
      <w:pPr>
        <w:rPr>
          <w:rFonts w:ascii="Arial" w:hAnsi="Arial" w:cs="Arial"/>
          <w:b/>
          <w:color w:val="4F81BD"/>
          <w:sz w:val="24"/>
          <w:szCs w:val="24"/>
        </w:rPr>
      </w:pPr>
      <w:r w:rsidRPr="00145B09">
        <w:rPr>
          <w:rFonts w:ascii="Arial" w:hAnsi="Arial" w:cs="Arial"/>
          <w:b/>
          <w:color w:val="2E74B5" w:themeColor="accent5" w:themeShade="BF"/>
          <w:sz w:val="24"/>
          <w:szCs w:val="24"/>
        </w:rPr>
        <w:t>Developing Well</w:t>
      </w:r>
    </w:p>
    <w:p w14:paraId="3A6D0474" w14:textId="59EBA4E6" w:rsidR="00C91300" w:rsidRPr="006A1432" w:rsidRDefault="00516087" w:rsidP="0041356A">
      <w:pPr>
        <w:rPr>
          <w:rFonts w:ascii="Arial" w:hAnsi="Arial" w:cs="Arial"/>
        </w:rPr>
      </w:pPr>
      <w:r w:rsidRPr="006A1432">
        <w:rPr>
          <w:rFonts w:ascii="Arial" w:hAnsi="Arial" w:cs="Arial"/>
        </w:rPr>
        <w:t xml:space="preserve">Just </w:t>
      </w:r>
      <w:r w:rsidR="0074315F">
        <w:rPr>
          <w:rFonts w:ascii="Arial" w:hAnsi="Arial" w:cs="Arial"/>
        </w:rPr>
        <w:t>under</w:t>
      </w:r>
      <w:r w:rsidR="00130BB2" w:rsidRPr="006A1432">
        <w:rPr>
          <w:rFonts w:ascii="Arial" w:hAnsi="Arial" w:cs="Arial"/>
        </w:rPr>
        <w:t xml:space="preserve"> 1 in </w:t>
      </w:r>
      <w:r w:rsidR="0074315F">
        <w:rPr>
          <w:rFonts w:ascii="Arial" w:hAnsi="Arial" w:cs="Arial"/>
        </w:rPr>
        <w:t>3</w:t>
      </w:r>
      <w:r w:rsidRPr="006A1432">
        <w:rPr>
          <w:rFonts w:ascii="Arial" w:hAnsi="Arial" w:cs="Arial"/>
        </w:rPr>
        <w:t xml:space="preserve"> households in Central</w:t>
      </w:r>
      <w:r w:rsidR="00130BB2" w:rsidRPr="006A1432">
        <w:rPr>
          <w:rFonts w:ascii="Arial" w:hAnsi="Arial" w:cs="Arial"/>
        </w:rPr>
        <w:t xml:space="preserve"> have dependent children.</w:t>
      </w:r>
    </w:p>
    <w:p w14:paraId="0350ADE3" w14:textId="5B0841E0" w:rsidR="00C65253" w:rsidRPr="006A1432" w:rsidRDefault="00C65253" w:rsidP="0041356A">
      <w:pPr>
        <w:rPr>
          <w:rFonts w:ascii="Arial" w:hAnsi="Arial" w:cs="Arial"/>
        </w:rPr>
      </w:pPr>
      <w:r w:rsidRPr="006A1432">
        <w:rPr>
          <w:rFonts w:ascii="Arial" w:hAnsi="Arial" w:cs="Arial"/>
        </w:rPr>
        <w:t>Excess weight for receptio</w:t>
      </w:r>
      <w:r w:rsidR="00516087" w:rsidRPr="006A1432">
        <w:rPr>
          <w:rFonts w:ascii="Arial" w:hAnsi="Arial" w:cs="Arial"/>
        </w:rPr>
        <w:t xml:space="preserve">n age children is slightly </w:t>
      </w:r>
      <w:r w:rsidR="00604DC1">
        <w:rPr>
          <w:rFonts w:ascii="Arial" w:hAnsi="Arial" w:cs="Arial"/>
        </w:rPr>
        <w:t>higher</w:t>
      </w:r>
      <w:r w:rsidR="00516087" w:rsidRPr="006A1432">
        <w:rPr>
          <w:rFonts w:ascii="Arial" w:hAnsi="Arial" w:cs="Arial"/>
        </w:rPr>
        <w:t xml:space="preserve"> than the</w:t>
      </w:r>
      <w:r w:rsidRPr="006A1432">
        <w:rPr>
          <w:rFonts w:ascii="Arial" w:hAnsi="Arial" w:cs="Arial"/>
        </w:rPr>
        <w:t xml:space="preserve"> Calderdale average</w:t>
      </w:r>
      <w:r w:rsidR="00164794">
        <w:rPr>
          <w:rFonts w:ascii="Arial" w:hAnsi="Arial" w:cs="Arial"/>
        </w:rPr>
        <w:t xml:space="preserve"> at around 19%</w:t>
      </w:r>
      <w:r w:rsidR="0074315F">
        <w:rPr>
          <w:rFonts w:ascii="Arial" w:hAnsi="Arial" w:cs="Arial"/>
        </w:rPr>
        <w:t>, but not significantly</w:t>
      </w:r>
      <w:r w:rsidR="00044624" w:rsidRPr="006A1432">
        <w:rPr>
          <w:rFonts w:ascii="Arial" w:hAnsi="Arial" w:cs="Arial"/>
        </w:rPr>
        <w:t xml:space="preserve">. </w:t>
      </w:r>
      <w:r w:rsidR="00164794">
        <w:rPr>
          <w:rFonts w:ascii="Arial" w:hAnsi="Arial" w:cs="Arial"/>
        </w:rPr>
        <w:t>By y</w:t>
      </w:r>
      <w:r w:rsidR="00516087" w:rsidRPr="006A1432">
        <w:rPr>
          <w:rFonts w:ascii="Arial" w:hAnsi="Arial" w:cs="Arial"/>
        </w:rPr>
        <w:t>ear 6 it is significantly higher</w:t>
      </w:r>
      <w:r w:rsidRPr="006A1432">
        <w:rPr>
          <w:rFonts w:ascii="Arial" w:hAnsi="Arial" w:cs="Arial"/>
        </w:rPr>
        <w:t xml:space="preserve"> than the Calde</w:t>
      </w:r>
      <w:r w:rsidR="00516087" w:rsidRPr="006A1432">
        <w:rPr>
          <w:rFonts w:ascii="Arial" w:hAnsi="Arial" w:cs="Arial"/>
        </w:rPr>
        <w:t xml:space="preserve">rdale average, with </w:t>
      </w:r>
      <w:r w:rsidR="0074315F">
        <w:rPr>
          <w:rFonts w:ascii="Arial" w:hAnsi="Arial" w:cs="Arial"/>
        </w:rPr>
        <w:t>38.8</w:t>
      </w:r>
      <w:r w:rsidR="00516087" w:rsidRPr="006A1432">
        <w:rPr>
          <w:rFonts w:ascii="Arial" w:hAnsi="Arial" w:cs="Arial"/>
        </w:rPr>
        <w:t>%</w:t>
      </w:r>
      <w:r w:rsidRPr="006A1432">
        <w:rPr>
          <w:rFonts w:ascii="Arial" w:hAnsi="Arial" w:cs="Arial"/>
        </w:rPr>
        <w:t xml:space="preserve"> having excess weight</w:t>
      </w:r>
      <w:r w:rsidR="0074315F">
        <w:rPr>
          <w:rFonts w:ascii="Arial" w:hAnsi="Arial" w:cs="Arial"/>
        </w:rPr>
        <w:t>, the highest neighbourhood</w:t>
      </w:r>
      <w:r w:rsidRPr="006A1432">
        <w:rPr>
          <w:rFonts w:ascii="Arial" w:hAnsi="Arial" w:cs="Arial"/>
        </w:rPr>
        <w:t>.</w:t>
      </w:r>
    </w:p>
    <w:p w14:paraId="492B857A" w14:textId="66D413AD" w:rsidR="00C65253" w:rsidRPr="006A1432" w:rsidRDefault="00C65253" w:rsidP="0041356A">
      <w:pPr>
        <w:rPr>
          <w:rFonts w:ascii="Arial" w:hAnsi="Arial" w:cs="Arial"/>
        </w:rPr>
      </w:pPr>
      <w:r w:rsidRPr="006A1432">
        <w:rPr>
          <w:rFonts w:ascii="Arial" w:hAnsi="Arial" w:cs="Arial"/>
        </w:rPr>
        <w:t>We do not have much info</w:t>
      </w:r>
      <w:r w:rsidR="001E7DF9" w:rsidRPr="006A1432">
        <w:rPr>
          <w:rFonts w:ascii="Arial" w:hAnsi="Arial" w:cs="Arial"/>
        </w:rPr>
        <w:t>rmation around the health</w:t>
      </w:r>
      <w:r w:rsidRPr="006A1432">
        <w:rPr>
          <w:rFonts w:ascii="Arial" w:hAnsi="Arial" w:cs="Arial"/>
        </w:rPr>
        <w:t xml:space="preserve"> conditions that children are living </w:t>
      </w:r>
      <w:r w:rsidR="00145B09" w:rsidRPr="006A1432">
        <w:rPr>
          <w:rFonts w:ascii="Arial" w:hAnsi="Arial" w:cs="Arial"/>
        </w:rPr>
        <w:t>with,</w:t>
      </w:r>
      <w:r w:rsidRPr="006A1432">
        <w:rPr>
          <w:rFonts w:ascii="Arial" w:hAnsi="Arial" w:cs="Arial"/>
        </w:rPr>
        <w:t xml:space="preserve"> but we do know that the proportion claiming disability living allowance </w:t>
      </w:r>
      <w:r w:rsidR="00516087" w:rsidRPr="006A1432">
        <w:rPr>
          <w:rFonts w:ascii="Arial" w:hAnsi="Arial" w:cs="Arial"/>
        </w:rPr>
        <w:t>is</w:t>
      </w:r>
      <w:r w:rsidR="007D579F">
        <w:rPr>
          <w:rFonts w:ascii="Arial" w:hAnsi="Arial" w:cs="Arial"/>
        </w:rPr>
        <w:t xml:space="preserve"> similar to</w:t>
      </w:r>
      <w:r w:rsidR="001E7DF9" w:rsidRPr="006A1432">
        <w:rPr>
          <w:rFonts w:ascii="Arial" w:hAnsi="Arial" w:cs="Arial"/>
        </w:rPr>
        <w:t xml:space="preserve"> Calderdale</w:t>
      </w:r>
      <w:r w:rsidR="007D579F">
        <w:rPr>
          <w:rFonts w:ascii="Arial" w:hAnsi="Arial" w:cs="Arial"/>
        </w:rPr>
        <w:t xml:space="preserve">’s </w:t>
      </w:r>
      <w:r w:rsidR="00516087" w:rsidRPr="006A1432">
        <w:rPr>
          <w:rFonts w:ascii="Arial" w:hAnsi="Arial" w:cs="Arial"/>
        </w:rPr>
        <w:t xml:space="preserve">average </w:t>
      </w:r>
      <w:proofErr w:type="gramStart"/>
      <w:r w:rsidR="00516087" w:rsidRPr="006A1432">
        <w:rPr>
          <w:rFonts w:ascii="Arial" w:hAnsi="Arial" w:cs="Arial"/>
        </w:rPr>
        <w:t xml:space="preserve">at </w:t>
      </w:r>
      <w:r w:rsidR="00DA427E">
        <w:rPr>
          <w:rFonts w:ascii="Arial" w:hAnsi="Arial" w:cs="Arial"/>
        </w:rPr>
        <w:t xml:space="preserve"> </w:t>
      </w:r>
      <w:r w:rsidR="007D579F">
        <w:rPr>
          <w:rFonts w:ascii="Arial" w:hAnsi="Arial" w:cs="Arial"/>
        </w:rPr>
        <w:t>4.</w:t>
      </w:r>
      <w:r w:rsidR="0074315F">
        <w:rPr>
          <w:rFonts w:ascii="Arial" w:hAnsi="Arial" w:cs="Arial"/>
        </w:rPr>
        <w:t>4</w:t>
      </w:r>
      <w:proofErr w:type="gramEnd"/>
      <w:r w:rsidR="001E7DF9" w:rsidRPr="006A1432">
        <w:rPr>
          <w:rFonts w:ascii="Arial" w:hAnsi="Arial" w:cs="Arial"/>
        </w:rPr>
        <w:t>%</w:t>
      </w:r>
      <w:r w:rsidR="00DA427E">
        <w:rPr>
          <w:rFonts w:ascii="Arial" w:hAnsi="Arial" w:cs="Arial"/>
        </w:rPr>
        <w:t>, compared to 4.</w:t>
      </w:r>
      <w:r w:rsidR="0074315F">
        <w:rPr>
          <w:rFonts w:ascii="Arial" w:hAnsi="Arial" w:cs="Arial"/>
        </w:rPr>
        <w:t>7</w:t>
      </w:r>
      <w:r w:rsidR="00DA427E">
        <w:rPr>
          <w:rFonts w:ascii="Arial" w:hAnsi="Arial" w:cs="Arial"/>
        </w:rPr>
        <w:t>%</w:t>
      </w:r>
      <w:r w:rsidR="00044624" w:rsidRPr="006A1432">
        <w:rPr>
          <w:rFonts w:ascii="Arial" w:hAnsi="Arial" w:cs="Arial"/>
        </w:rPr>
        <w:t xml:space="preserve">. </w:t>
      </w:r>
    </w:p>
    <w:p w14:paraId="3D8583B2" w14:textId="5240E0C0" w:rsidR="007D579F" w:rsidRPr="00A81FD1" w:rsidRDefault="007D579F" w:rsidP="007D579F">
      <w:pPr>
        <w:rPr>
          <w:rFonts w:ascii="Arial" w:hAnsi="Arial" w:cs="Arial"/>
        </w:rPr>
      </w:pPr>
      <w:r w:rsidRPr="00A81FD1">
        <w:rPr>
          <w:rFonts w:ascii="Arial" w:hAnsi="Arial" w:cs="Arial"/>
        </w:rPr>
        <w:t xml:space="preserve">Referrals to children’s social care are </w:t>
      </w:r>
      <w:proofErr w:type="gramStart"/>
      <w:r w:rsidRPr="00A81FD1">
        <w:rPr>
          <w:rFonts w:ascii="Arial" w:hAnsi="Arial" w:cs="Arial"/>
        </w:rPr>
        <w:t>similar to</w:t>
      </w:r>
      <w:proofErr w:type="gramEnd"/>
      <w:r w:rsidRPr="00A81FD1">
        <w:rPr>
          <w:rFonts w:ascii="Arial" w:hAnsi="Arial" w:cs="Arial"/>
        </w:rPr>
        <w:t xml:space="preserve"> the Calderdale average.</w:t>
      </w:r>
    </w:p>
    <w:p w14:paraId="63C514D3" w14:textId="126A2F08" w:rsidR="003A119E" w:rsidRPr="006A1432" w:rsidRDefault="003A119E" w:rsidP="0041356A">
      <w:pPr>
        <w:rPr>
          <w:rFonts w:ascii="Arial" w:hAnsi="Arial" w:cs="Arial"/>
          <w:b/>
          <w:color w:val="4F81BD"/>
          <w:sz w:val="24"/>
          <w:szCs w:val="24"/>
        </w:rPr>
      </w:pPr>
      <w:r w:rsidRPr="00145B09">
        <w:rPr>
          <w:rFonts w:ascii="Arial" w:hAnsi="Arial" w:cs="Arial"/>
          <w:b/>
          <w:color w:val="2E74B5" w:themeColor="accent5" w:themeShade="BF"/>
          <w:sz w:val="24"/>
          <w:szCs w:val="24"/>
        </w:rPr>
        <w:t>Living and Working Well</w:t>
      </w:r>
      <w:r w:rsidR="00E34D81">
        <w:rPr>
          <w:rFonts w:ascii="Arial" w:hAnsi="Arial" w:cs="Arial"/>
          <w:b/>
          <w:color w:val="4F81BD"/>
          <w:sz w:val="24"/>
          <w:szCs w:val="24"/>
        </w:rPr>
        <w:t xml:space="preserve"> </w:t>
      </w:r>
    </w:p>
    <w:p w14:paraId="02DE6A2F" w14:textId="299C4D70" w:rsidR="00121C3F" w:rsidRDefault="00927CA7" w:rsidP="0041356A">
      <w:pPr>
        <w:rPr>
          <w:rFonts w:ascii="Arial" w:hAnsi="Arial" w:cs="Arial"/>
        </w:rPr>
      </w:pPr>
      <w:r w:rsidRPr="006A1432">
        <w:rPr>
          <w:rFonts w:ascii="Arial" w:hAnsi="Arial" w:cs="Arial"/>
        </w:rPr>
        <w:t xml:space="preserve">Smoking rates </w:t>
      </w:r>
      <w:r w:rsidR="00E52BC2">
        <w:rPr>
          <w:rFonts w:ascii="Arial" w:hAnsi="Arial" w:cs="Arial"/>
        </w:rPr>
        <w:t xml:space="preserve">in Central </w:t>
      </w:r>
      <w:r w:rsidRPr="006A1432">
        <w:rPr>
          <w:rFonts w:ascii="Arial" w:hAnsi="Arial" w:cs="Arial"/>
        </w:rPr>
        <w:t xml:space="preserve">are </w:t>
      </w:r>
      <w:r w:rsidR="00E52BC2">
        <w:rPr>
          <w:rFonts w:ascii="Arial" w:hAnsi="Arial" w:cs="Arial"/>
        </w:rPr>
        <w:t>similar</w:t>
      </w:r>
      <w:r w:rsidRPr="006A1432">
        <w:rPr>
          <w:rFonts w:ascii="Arial" w:hAnsi="Arial" w:cs="Arial"/>
        </w:rPr>
        <w:t xml:space="preserve"> </w:t>
      </w:r>
      <w:r w:rsidR="000D443E" w:rsidRPr="006A1432">
        <w:rPr>
          <w:rFonts w:ascii="Arial" w:hAnsi="Arial" w:cs="Arial"/>
        </w:rPr>
        <w:t>compared to Calderdale overall</w:t>
      </w:r>
      <w:r w:rsidRPr="006A1432">
        <w:rPr>
          <w:rFonts w:ascii="Arial" w:hAnsi="Arial" w:cs="Arial"/>
        </w:rPr>
        <w:t xml:space="preserve"> with </w:t>
      </w:r>
      <w:r w:rsidR="00164794">
        <w:rPr>
          <w:rFonts w:ascii="Arial" w:hAnsi="Arial" w:cs="Arial"/>
        </w:rPr>
        <w:t>just over</w:t>
      </w:r>
      <w:r w:rsidRPr="006A1432">
        <w:rPr>
          <w:rFonts w:ascii="Arial" w:hAnsi="Arial" w:cs="Arial"/>
        </w:rPr>
        <w:t xml:space="preserve">1 in </w:t>
      </w:r>
      <w:r w:rsidR="00F7423D">
        <w:rPr>
          <w:rFonts w:ascii="Arial" w:hAnsi="Arial" w:cs="Arial"/>
        </w:rPr>
        <w:t>6</w:t>
      </w:r>
      <w:r w:rsidRPr="006A1432">
        <w:rPr>
          <w:rFonts w:ascii="Arial" w:hAnsi="Arial" w:cs="Arial"/>
        </w:rPr>
        <w:t xml:space="preserve"> estimated to be smokers</w:t>
      </w:r>
      <w:r w:rsidR="00121C3F">
        <w:rPr>
          <w:rFonts w:ascii="Arial" w:hAnsi="Arial" w:cs="Arial"/>
        </w:rPr>
        <w:t>.</w:t>
      </w:r>
    </w:p>
    <w:p w14:paraId="56E44D2C" w14:textId="6FAAB493" w:rsidR="00E74F01" w:rsidRPr="006A1432" w:rsidRDefault="00E74F01" w:rsidP="0041356A">
      <w:pPr>
        <w:rPr>
          <w:rFonts w:ascii="Arial" w:hAnsi="Arial" w:cs="Arial"/>
        </w:rPr>
      </w:pPr>
      <w:r w:rsidRPr="00E74F01">
        <w:rPr>
          <w:rFonts w:ascii="Arial" w:hAnsi="Arial" w:cs="Arial"/>
        </w:rPr>
        <w:t xml:space="preserve">Obesity </w:t>
      </w:r>
      <w:r w:rsidR="00164794">
        <w:rPr>
          <w:rFonts w:ascii="Arial" w:hAnsi="Arial" w:cs="Arial"/>
        </w:rPr>
        <w:t xml:space="preserve">prevalence </w:t>
      </w:r>
      <w:r>
        <w:rPr>
          <w:rFonts w:ascii="Arial" w:hAnsi="Arial" w:cs="Arial"/>
        </w:rPr>
        <w:t xml:space="preserve">amongst </w:t>
      </w:r>
      <w:r w:rsidRPr="00E74F01">
        <w:rPr>
          <w:rFonts w:ascii="Arial" w:hAnsi="Arial" w:cs="Arial"/>
        </w:rPr>
        <w:t>18+</w:t>
      </w:r>
      <w:r>
        <w:rPr>
          <w:rFonts w:ascii="Arial" w:hAnsi="Arial" w:cs="Arial"/>
        </w:rPr>
        <w:t xml:space="preserve"> year</w:t>
      </w:r>
      <w:r w:rsidRPr="00E74F01">
        <w:rPr>
          <w:rFonts w:ascii="Arial" w:hAnsi="Arial" w:cs="Arial"/>
        </w:rPr>
        <w:t xml:space="preserve"> </w:t>
      </w:r>
      <w:r w:rsidR="00164794">
        <w:rPr>
          <w:rFonts w:ascii="Arial" w:hAnsi="Arial" w:cs="Arial"/>
        </w:rPr>
        <w:t>p</w:t>
      </w:r>
      <w:r w:rsidRPr="00E74F01">
        <w:rPr>
          <w:rFonts w:ascii="Arial" w:hAnsi="Arial" w:cs="Arial"/>
        </w:rPr>
        <w:t>atients with a BMI of 30 or above</w:t>
      </w:r>
      <w:r>
        <w:rPr>
          <w:rFonts w:ascii="Arial" w:hAnsi="Arial" w:cs="Arial"/>
        </w:rPr>
        <w:t xml:space="preserve"> is significantly lower than the Calderdale average.</w:t>
      </w:r>
    </w:p>
    <w:p w14:paraId="5B26DF6D" w14:textId="3BB519E4" w:rsidR="004A537D" w:rsidRPr="006A1432" w:rsidRDefault="004A537D" w:rsidP="0041356A">
      <w:pPr>
        <w:rPr>
          <w:rFonts w:ascii="Arial" w:hAnsi="Arial" w:cs="Arial"/>
        </w:rPr>
      </w:pPr>
      <w:r w:rsidRPr="006A1432">
        <w:rPr>
          <w:rFonts w:ascii="Arial" w:hAnsi="Arial" w:cs="Arial"/>
        </w:rPr>
        <w:t xml:space="preserve">We currently do not have any other information around healthy lifestyles in adults at </w:t>
      </w:r>
      <w:r w:rsidR="00CF4F1F">
        <w:rPr>
          <w:rFonts w:ascii="Arial" w:hAnsi="Arial" w:cs="Arial"/>
        </w:rPr>
        <w:t>neighbourhood</w:t>
      </w:r>
      <w:r w:rsidRPr="006A1432">
        <w:rPr>
          <w:rFonts w:ascii="Arial" w:hAnsi="Arial" w:cs="Arial"/>
        </w:rPr>
        <w:t xml:space="preserve"> level.</w:t>
      </w:r>
    </w:p>
    <w:p w14:paraId="7D5651AE" w14:textId="77777777" w:rsidR="00AE2BFE" w:rsidRPr="006A1432" w:rsidRDefault="00AC47B3" w:rsidP="0041356A">
      <w:pPr>
        <w:rPr>
          <w:rFonts w:ascii="Arial" w:hAnsi="Arial" w:cs="Arial"/>
          <w:i/>
          <w:color w:val="4F81BD"/>
        </w:rPr>
      </w:pPr>
      <w:r w:rsidRPr="00145B09">
        <w:rPr>
          <w:rFonts w:ascii="Arial" w:hAnsi="Arial" w:cs="Arial"/>
          <w:i/>
          <w:color w:val="2E74B5" w:themeColor="accent5" w:themeShade="BF"/>
        </w:rPr>
        <w:t>Life Expectancy</w:t>
      </w:r>
    </w:p>
    <w:p w14:paraId="73886E6D" w14:textId="57C02858" w:rsidR="00624311" w:rsidRPr="006A1432" w:rsidRDefault="00F7423D" w:rsidP="004135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Both Females and </w:t>
      </w:r>
      <w:r w:rsidR="00BA1E42" w:rsidRPr="006A1432">
        <w:rPr>
          <w:rFonts w:ascii="Arial" w:hAnsi="Arial" w:cs="Arial"/>
        </w:rPr>
        <w:t>M</w:t>
      </w:r>
      <w:r w:rsidR="00C42B7D" w:rsidRPr="006A1432">
        <w:rPr>
          <w:rFonts w:ascii="Arial" w:hAnsi="Arial" w:cs="Arial"/>
        </w:rPr>
        <w:t>ales</w:t>
      </w:r>
      <w:r w:rsidR="00BA1E42" w:rsidRPr="006A1432">
        <w:rPr>
          <w:rFonts w:ascii="Arial" w:hAnsi="Arial" w:cs="Arial"/>
        </w:rPr>
        <w:t xml:space="preserve"> </w:t>
      </w:r>
      <w:r w:rsidR="00927CA7" w:rsidRPr="006A1432">
        <w:rPr>
          <w:rFonts w:ascii="Arial" w:hAnsi="Arial" w:cs="Arial"/>
        </w:rPr>
        <w:t xml:space="preserve">in Central have a life expectancy </w:t>
      </w:r>
      <w:r w:rsidR="00852363">
        <w:rPr>
          <w:rFonts w:ascii="Arial" w:hAnsi="Arial" w:cs="Arial"/>
        </w:rPr>
        <w:t xml:space="preserve">almost </w:t>
      </w:r>
      <w:r>
        <w:rPr>
          <w:rFonts w:ascii="Arial" w:hAnsi="Arial" w:cs="Arial"/>
        </w:rPr>
        <w:t xml:space="preserve">1 year less than </w:t>
      </w:r>
      <w:r w:rsidR="00927CA7" w:rsidRPr="006A1432">
        <w:rPr>
          <w:rFonts w:ascii="Arial" w:hAnsi="Arial" w:cs="Arial"/>
        </w:rPr>
        <w:t>Calderdale average</w:t>
      </w:r>
      <w:r w:rsidR="00E74F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but this is not a</w:t>
      </w:r>
      <w:r w:rsidR="00EC5B0E">
        <w:rPr>
          <w:rFonts w:ascii="Arial" w:hAnsi="Arial" w:cs="Arial"/>
        </w:rPr>
        <w:t xml:space="preserve"> statistically</w:t>
      </w:r>
      <w:r>
        <w:rPr>
          <w:rFonts w:ascii="Arial" w:hAnsi="Arial" w:cs="Arial"/>
        </w:rPr>
        <w:t xml:space="preserve"> significant difference</w:t>
      </w:r>
      <w:r w:rsidR="00927CA7" w:rsidRPr="006A1432">
        <w:rPr>
          <w:rFonts w:ascii="Arial" w:hAnsi="Arial" w:cs="Arial"/>
        </w:rPr>
        <w:t>.</w:t>
      </w:r>
    </w:p>
    <w:p w14:paraId="51E53C49" w14:textId="77777777" w:rsidR="00624311" w:rsidRPr="006A1432" w:rsidRDefault="00624311" w:rsidP="0041356A">
      <w:pPr>
        <w:rPr>
          <w:rFonts w:ascii="Arial" w:hAnsi="Arial" w:cs="Arial"/>
          <w:i/>
          <w:color w:val="4F81BD"/>
        </w:rPr>
      </w:pPr>
      <w:r w:rsidRPr="00145B09">
        <w:rPr>
          <w:rFonts w:ascii="Arial" w:hAnsi="Arial" w:cs="Arial"/>
          <w:i/>
          <w:color w:val="2E74B5" w:themeColor="accent5" w:themeShade="BF"/>
        </w:rPr>
        <w:t>Long term conditions</w:t>
      </w:r>
    </w:p>
    <w:p w14:paraId="6246A6C4" w14:textId="1790888C" w:rsidR="00624311" w:rsidRDefault="0000429C" w:rsidP="0041356A">
      <w:pPr>
        <w:rPr>
          <w:rFonts w:ascii="Arial" w:hAnsi="Arial" w:cs="Arial"/>
        </w:rPr>
      </w:pPr>
      <w:r w:rsidRPr="006A1432">
        <w:rPr>
          <w:rFonts w:ascii="Arial" w:hAnsi="Arial" w:cs="Arial"/>
        </w:rPr>
        <w:t>According to the 20</w:t>
      </w:r>
      <w:r w:rsidR="00F7423D">
        <w:rPr>
          <w:rFonts w:ascii="Arial" w:hAnsi="Arial" w:cs="Arial"/>
        </w:rPr>
        <w:t>2</w:t>
      </w:r>
      <w:r w:rsidR="00927CA7" w:rsidRPr="006A1432">
        <w:rPr>
          <w:rFonts w:ascii="Arial" w:hAnsi="Arial" w:cs="Arial"/>
        </w:rPr>
        <w:t>1 Census, 1</w:t>
      </w:r>
      <w:r w:rsidR="00852363">
        <w:rPr>
          <w:rFonts w:ascii="Arial" w:hAnsi="Arial" w:cs="Arial"/>
        </w:rPr>
        <w:t>7.2</w:t>
      </w:r>
      <w:r w:rsidR="00624311" w:rsidRPr="006A1432">
        <w:rPr>
          <w:rFonts w:ascii="Arial" w:hAnsi="Arial" w:cs="Arial"/>
        </w:rPr>
        <w:t xml:space="preserve">% had a </w:t>
      </w:r>
      <w:r w:rsidR="008815ED" w:rsidRPr="006A1432">
        <w:rPr>
          <w:rFonts w:ascii="Arial" w:hAnsi="Arial" w:cs="Arial"/>
        </w:rPr>
        <w:t>long-term</w:t>
      </w:r>
      <w:r w:rsidR="00624311" w:rsidRPr="006A1432">
        <w:rPr>
          <w:rFonts w:ascii="Arial" w:hAnsi="Arial" w:cs="Arial"/>
        </w:rPr>
        <w:t xml:space="preserve"> health problem or disability which limits activiti</w:t>
      </w:r>
      <w:r w:rsidR="003A119E" w:rsidRPr="006A1432">
        <w:rPr>
          <w:rFonts w:ascii="Arial" w:hAnsi="Arial" w:cs="Arial"/>
        </w:rPr>
        <w:t>es – th</w:t>
      </w:r>
      <w:r w:rsidR="00927CA7" w:rsidRPr="006A1432">
        <w:rPr>
          <w:rFonts w:ascii="Arial" w:hAnsi="Arial" w:cs="Arial"/>
        </w:rPr>
        <w:t>is is</w:t>
      </w:r>
      <w:r w:rsidR="003A119E" w:rsidRPr="006A1432">
        <w:rPr>
          <w:rFonts w:ascii="Arial" w:hAnsi="Arial" w:cs="Arial"/>
        </w:rPr>
        <w:t xml:space="preserve"> </w:t>
      </w:r>
      <w:r w:rsidR="00852363">
        <w:rPr>
          <w:rFonts w:ascii="Arial" w:hAnsi="Arial" w:cs="Arial"/>
        </w:rPr>
        <w:t>significantly lower than</w:t>
      </w:r>
      <w:r w:rsidR="003A119E" w:rsidRPr="006A1432">
        <w:rPr>
          <w:rFonts w:ascii="Arial" w:hAnsi="Arial" w:cs="Arial"/>
        </w:rPr>
        <w:t xml:space="preserve"> the Calderdale ave</w:t>
      </w:r>
      <w:r w:rsidR="00927CA7" w:rsidRPr="006A1432">
        <w:rPr>
          <w:rFonts w:ascii="Arial" w:hAnsi="Arial" w:cs="Arial"/>
        </w:rPr>
        <w:t>rage</w:t>
      </w:r>
      <w:r w:rsidR="003A119E" w:rsidRPr="006A1432">
        <w:rPr>
          <w:rFonts w:ascii="Arial" w:hAnsi="Arial" w:cs="Arial"/>
        </w:rPr>
        <w:t>.</w:t>
      </w:r>
      <w:r w:rsidR="00884C12" w:rsidRPr="006A1432">
        <w:rPr>
          <w:rFonts w:ascii="Arial" w:hAnsi="Arial" w:cs="Arial"/>
        </w:rPr>
        <w:t xml:space="preserve"> We do not know how many of these had more than one long term condition.</w:t>
      </w:r>
    </w:p>
    <w:p w14:paraId="1ED31942" w14:textId="2831916A" w:rsidR="00164794" w:rsidRPr="006A1432" w:rsidRDefault="00164794" w:rsidP="004135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is a significantly higher referral rate to </w:t>
      </w:r>
      <w:proofErr w:type="gramStart"/>
      <w:r>
        <w:rPr>
          <w:rFonts w:ascii="Arial" w:hAnsi="Arial" w:cs="Arial"/>
        </w:rPr>
        <w:t>adults</w:t>
      </w:r>
      <w:proofErr w:type="gramEnd"/>
      <w:r>
        <w:rPr>
          <w:rFonts w:ascii="Arial" w:hAnsi="Arial" w:cs="Arial"/>
        </w:rPr>
        <w:t xml:space="preserve"> social care in adults aged 18 or over compared to the Calderdale average</w:t>
      </w:r>
    </w:p>
    <w:p w14:paraId="6D231D29" w14:textId="1823F966" w:rsidR="00927CA7" w:rsidRPr="006A1432" w:rsidRDefault="00E66142" w:rsidP="0041356A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634C3B41" wp14:editId="3C36A9FC">
            <wp:extent cx="6437630" cy="4090670"/>
            <wp:effectExtent l="0" t="0" r="127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630" cy="409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22A7CD" w14:textId="5C80B836" w:rsidR="00B164BF" w:rsidRPr="006A1432" w:rsidRDefault="00B164BF" w:rsidP="00B164BF">
      <w:pPr>
        <w:rPr>
          <w:rFonts w:ascii="Arial" w:hAnsi="Arial" w:cs="Arial"/>
        </w:rPr>
      </w:pPr>
      <w:r w:rsidRPr="006A1432">
        <w:rPr>
          <w:rFonts w:ascii="Arial" w:hAnsi="Arial" w:cs="Arial"/>
        </w:rPr>
        <w:t>The graph shows the percentage</w:t>
      </w:r>
      <w:r w:rsidR="00852363">
        <w:rPr>
          <w:rFonts w:ascii="Arial" w:hAnsi="Arial" w:cs="Arial"/>
        </w:rPr>
        <w:t xml:space="preserve"> of residents</w:t>
      </w:r>
      <w:r w:rsidRPr="006A1432">
        <w:rPr>
          <w:rFonts w:ascii="Arial" w:hAnsi="Arial" w:cs="Arial"/>
        </w:rPr>
        <w:t xml:space="preserve"> with each condition according to the </w:t>
      </w:r>
      <w:r w:rsidR="00661660" w:rsidRPr="006A1432">
        <w:rPr>
          <w:rFonts w:ascii="Arial" w:hAnsi="Arial" w:cs="Arial"/>
        </w:rPr>
        <w:t>Quality and Outcomes Framework (QOF)</w:t>
      </w:r>
      <w:r w:rsidR="00044624" w:rsidRPr="006A1432">
        <w:rPr>
          <w:rFonts w:ascii="Arial" w:hAnsi="Arial" w:cs="Arial"/>
        </w:rPr>
        <w:t xml:space="preserve">. </w:t>
      </w:r>
      <w:r w:rsidRPr="006A1432">
        <w:rPr>
          <w:rFonts w:ascii="Arial" w:hAnsi="Arial" w:cs="Arial"/>
        </w:rPr>
        <w:t xml:space="preserve">Bars coloured red are significantly </w:t>
      </w:r>
      <w:r w:rsidR="00121C3F">
        <w:rPr>
          <w:rFonts w:ascii="Arial" w:hAnsi="Arial" w:cs="Arial"/>
        </w:rPr>
        <w:t>higher</w:t>
      </w:r>
      <w:r w:rsidRPr="006A1432">
        <w:rPr>
          <w:rFonts w:ascii="Arial" w:hAnsi="Arial" w:cs="Arial"/>
        </w:rPr>
        <w:t xml:space="preserve"> than Calderdale, green is significantly </w:t>
      </w:r>
      <w:r w:rsidR="00121C3F">
        <w:rPr>
          <w:rFonts w:ascii="Arial" w:hAnsi="Arial" w:cs="Arial"/>
        </w:rPr>
        <w:t>lowe</w:t>
      </w:r>
      <w:r w:rsidR="00145B09" w:rsidRPr="006A1432">
        <w:rPr>
          <w:rFonts w:ascii="Arial" w:hAnsi="Arial" w:cs="Arial"/>
        </w:rPr>
        <w:t>r,</w:t>
      </w:r>
      <w:r w:rsidRPr="006A1432">
        <w:rPr>
          <w:rFonts w:ascii="Arial" w:hAnsi="Arial" w:cs="Arial"/>
        </w:rPr>
        <w:t xml:space="preserve"> and amber is no significant differen</w:t>
      </w:r>
      <w:r w:rsidR="00121C3F">
        <w:rPr>
          <w:rFonts w:ascii="Arial" w:hAnsi="Arial" w:cs="Arial"/>
        </w:rPr>
        <w:t>ce</w:t>
      </w:r>
      <w:r w:rsidR="00044624" w:rsidRPr="006A1432">
        <w:rPr>
          <w:rFonts w:ascii="Arial" w:hAnsi="Arial" w:cs="Arial"/>
        </w:rPr>
        <w:t xml:space="preserve">. </w:t>
      </w:r>
      <w:r w:rsidRPr="006A1432">
        <w:rPr>
          <w:rFonts w:ascii="Arial" w:hAnsi="Arial" w:cs="Arial"/>
        </w:rPr>
        <w:t>There are a few things to consider when interpreting this data:</w:t>
      </w:r>
    </w:p>
    <w:p w14:paraId="078C51B2" w14:textId="77777777" w:rsidR="00B164BF" w:rsidRPr="006A1432" w:rsidRDefault="00B164BF" w:rsidP="00B164BF">
      <w:pPr>
        <w:numPr>
          <w:ilvl w:val="0"/>
          <w:numId w:val="1"/>
        </w:numPr>
        <w:rPr>
          <w:rFonts w:ascii="Arial" w:hAnsi="Arial" w:cs="Arial"/>
        </w:rPr>
      </w:pPr>
      <w:r w:rsidRPr="006A1432">
        <w:rPr>
          <w:rFonts w:ascii="Arial" w:hAnsi="Arial" w:cs="Arial"/>
        </w:rPr>
        <w:t xml:space="preserve">These rates do not </w:t>
      </w:r>
      <w:proofErr w:type="gramStart"/>
      <w:r w:rsidRPr="006A1432">
        <w:rPr>
          <w:rFonts w:ascii="Arial" w:hAnsi="Arial" w:cs="Arial"/>
        </w:rPr>
        <w:t>take into account</w:t>
      </w:r>
      <w:proofErr w:type="gramEnd"/>
      <w:r w:rsidRPr="006A1432">
        <w:rPr>
          <w:rFonts w:ascii="Arial" w:hAnsi="Arial" w:cs="Arial"/>
        </w:rPr>
        <w:t xml:space="preserve"> the age structure of the population so areas with a high percentage of older people are likely to have higher rates than the Calderdale average. </w:t>
      </w:r>
    </w:p>
    <w:p w14:paraId="2D26D4A2" w14:textId="77777777" w:rsidR="00B164BF" w:rsidRPr="006A1432" w:rsidRDefault="00B164BF" w:rsidP="00B164BF">
      <w:pPr>
        <w:numPr>
          <w:ilvl w:val="0"/>
          <w:numId w:val="1"/>
        </w:numPr>
        <w:rPr>
          <w:rFonts w:ascii="Arial" w:hAnsi="Arial" w:cs="Arial"/>
        </w:rPr>
      </w:pPr>
      <w:r w:rsidRPr="006A1432">
        <w:rPr>
          <w:rFonts w:ascii="Arial" w:hAnsi="Arial" w:cs="Arial"/>
        </w:rPr>
        <w:t>Patients may have co</w:t>
      </w:r>
      <w:r w:rsidR="007E156E" w:rsidRPr="006A1432">
        <w:rPr>
          <w:rFonts w:ascii="Arial" w:hAnsi="Arial" w:cs="Arial"/>
        </w:rPr>
        <w:t>nditions that have not yet been</w:t>
      </w:r>
      <w:r w:rsidRPr="006A1432">
        <w:rPr>
          <w:rFonts w:ascii="Arial" w:hAnsi="Arial" w:cs="Arial"/>
        </w:rPr>
        <w:t xml:space="preserve"> diagnosed and therefore will not be included in the figures</w:t>
      </w:r>
    </w:p>
    <w:p w14:paraId="45B822D1" w14:textId="77777777" w:rsidR="00B164BF" w:rsidRPr="006A1432" w:rsidRDefault="00B164BF" w:rsidP="00B164BF">
      <w:pPr>
        <w:numPr>
          <w:ilvl w:val="0"/>
          <w:numId w:val="1"/>
        </w:numPr>
        <w:rPr>
          <w:rFonts w:ascii="Arial" w:hAnsi="Arial" w:cs="Arial"/>
        </w:rPr>
      </w:pPr>
      <w:r w:rsidRPr="006A1432">
        <w:rPr>
          <w:rFonts w:ascii="Arial" w:hAnsi="Arial" w:cs="Arial"/>
        </w:rPr>
        <w:t>A high death rate will result in a lower prevalence</w:t>
      </w:r>
    </w:p>
    <w:p w14:paraId="441C8F35" w14:textId="77777777" w:rsidR="00B164BF" w:rsidRPr="006A1432" w:rsidRDefault="00B164BF" w:rsidP="00B164BF">
      <w:pPr>
        <w:numPr>
          <w:ilvl w:val="0"/>
          <w:numId w:val="1"/>
        </w:numPr>
        <w:rPr>
          <w:rFonts w:ascii="Arial" w:hAnsi="Arial" w:cs="Arial"/>
        </w:rPr>
      </w:pPr>
      <w:r w:rsidRPr="006A1432">
        <w:rPr>
          <w:rFonts w:ascii="Arial" w:hAnsi="Arial" w:cs="Arial"/>
        </w:rPr>
        <w:t xml:space="preserve">There may be differences in coding and data quality that affect the figures </w:t>
      </w:r>
    </w:p>
    <w:p w14:paraId="16AEB195" w14:textId="3C6D09AD" w:rsidR="00B164BF" w:rsidRPr="006A1432" w:rsidRDefault="00B164BF" w:rsidP="00B164BF">
      <w:pPr>
        <w:rPr>
          <w:rFonts w:ascii="Arial" w:hAnsi="Arial" w:cs="Arial"/>
        </w:rPr>
      </w:pPr>
      <w:r w:rsidRPr="006A1432">
        <w:rPr>
          <w:rFonts w:ascii="Arial" w:hAnsi="Arial" w:cs="Arial"/>
        </w:rPr>
        <w:t>As can be seen from the graph, hypertension has the highest prevalence, followe</w:t>
      </w:r>
      <w:r w:rsidR="00927CA7" w:rsidRPr="006A1432">
        <w:rPr>
          <w:rFonts w:ascii="Arial" w:hAnsi="Arial" w:cs="Arial"/>
        </w:rPr>
        <w:t>d by diabetes</w:t>
      </w:r>
      <w:r w:rsidR="00044624" w:rsidRPr="006A1432">
        <w:rPr>
          <w:rFonts w:ascii="Arial" w:hAnsi="Arial" w:cs="Arial"/>
        </w:rPr>
        <w:t xml:space="preserve">. </w:t>
      </w:r>
      <w:r w:rsidRPr="006A1432">
        <w:rPr>
          <w:rFonts w:ascii="Arial" w:hAnsi="Arial" w:cs="Arial"/>
        </w:rPr>
        <w:t xml:space="preserve">We currently do not know how much clinical time is spent managing these conditions, the amount of medication </w:t>
      </w:r>
      <w:r w:rsidR="00145B09" w:rsidRPr="006A1432">
        <w:rPr>
          <w:rFonts w:ascii="Arial" w:hAnsi="Arial" w:cs="Arial"/>
        </w:rPr>
        <w:t>used,</w:t>
      </w:r>
      <w:r w:rsidRPr="006A1432">
        <w:rPr>
          <w:rFonts w:ascii="Arial" w:hAnsi="Arial" w:cs="Arial"/>
        </w:rPr>
        <w:t xml:space="preserve"> and the costs associated with this. It could be that other conditions with a lower prevalence </w:t>
      </w:r>
      <w:proofErr w:type="gramStart"/>
      <w:r w:rsidRPr="006A1432">
        <w:rPr>
          <w:rFonts w:ascii="Arial" w:hAnsi="Arial" w:cs="Arial"/>
        </w:rPr>
        <w:t>actually take</w:t>
      </w:r>
      <w:proofErr w:type="gramEnd"/>
      <w:r w:rsidRPr="006A1432">
        <w:rPr>
          <w:rFonts w:ascii="Arial" w:hAnsi="Arial" w:cs="Arial"/>
        </w:rPr>
        <w:t xml:space="preserve"> up more clinical time and are more costly to manage.</w:t>
      </w:r>
    </w:p>
    <w:p w14:paraId="1F06C6A6" w14:textId="06749672" w:rsidR="000B4040" w:rsidRPr="00A81FD1" w:rsidRDefault="000B4040" w:rsidP="000B4040">
      <w:pPr>
        <w:rPr>
          <w:rFonts w:ascii="Arial" w:hAnsi="Arial" w:cs="Arial"/>
        </w:rPr>
      </w:pPr>
      <w:bookmarkStart w:id="0" w:name="_Hlk112933338"/>
      <w:r w:rsidRPr="00A81FD1">
        <w:rPr>
          <w:rFonts w:ascii="Arial" w:hAnsi="Arial" w:cs="Arial"/>
        </w:rPr>
        <w:t>It is useful to consider the incidence/prevalence of a condition as well as mortality rates, to get a better picture of need</w:t>
      </w:r>
      <w:r w:rsidR="00044624" w:rsidRPr="00A81FD1">
        <w:rPr>
          <w:rFonts w:ascii="Arial" w:hAnsi="Arial" w:cs="Arial"/>
        </w:rPr>
        <w:t xml:space="preserve">. </w:t>
      </w:r>
      <w:r w:rsidRPr="00A81FD1">
        <w:rPr>
          <w:rFonts w:ascii="Arial" w:hAnsi="Arial" w:cs="Arial"/>
        </w:rPr>
        <w:t xml:space="preserve">However, it is important to bear in mind that the deaths have been adjusted </w:t>
      </w:r>
      <w:r w:rsidRPr="00A81FD1">
        <w:rPr>
          <w:rFonts w:ascii="Arial" w:hAnsi="Arial" w:cs="Arial"/>
        </w:rPr>
        <w:lastRenderedPageBreak/>
        <w:t xml:space="preserve">to </w:t>
      </w:r>
      <w:proofErr w:type="gramStart"/>
      <w:r w:rsidRPr="00A81FD1">
        <w:rPr>
          <w:rFonts w:ascii="Arial" w:hAnsi="Arial" w:cs="Arial"/>
        </w:rPr>
        <w:t>take into account</w:t>
      </w:r>
      <w:proofErr w:type="gramEnd"/>
      <w:r w:rsidRPr="00A81FD1">
        <w:rPr>
          <w:rFonts w:ascii="Arial" w:hAnsi="Arial" w:cs="Arial"/>
        </w:rPr>
        <w:t xml:space="preserve"> the age structure of the population whereas the other data has not</w:t>
      </w:r>
      <w:r w:rsidR="00044624" w:rsidRPr="00A81FD1">
        <w:rPr>
          <w:rFonts w:ascii="Arial" w:hAnsi="Arial" w:cs="Arial"/>
        </w:rPr>
        <w:t xml:space="preserve">. </w:t>
      </w:r>
      <w:r w:rsidRPr="00A81FD1">
        <w:rPr>
          <w:rFonts w:ascii="Arial" w:hAnsi="Arial" w:cs="Arial"/>
        </w:rPr>
        <w:t xml:space="preserve">Available data that we have for each condition is summarised </w:t>
      </w:r>
      <w:r w:rsidR="00D04BF9">
        <w:rPr>
          <w:rFonts w:ascii="Arial" w:hAnsi="Arial" w:cs="Arial"/>
        </w:rPr>
        <w:t>over the page</w:t>
      </w:r>
      <w:r w:rsidRPr="00A81FD1">
        <w:rPr>
          <w:rFonts w:ascii="Arial" w:hAnsi="Arial" w:cs="Arial"/>
        </w:rPr>
        <w:t>:</w:t>
      </w:r>
    </w:p>
    <w:bookmarkEnd w:id="0"/>
    <w:p w14:paraId="035871FB" w14:textId="14BA27A1" w:rsidR="00633C12" w:rsidRPr="006A1432" w:rsidRDefault="00633C12" w:rsidP="0041356A">
      <w:pPr>
        <w:rPr>
          <w:rFonts w:ascii="Arial" w:hAnsi="Arial" w:cs="Arial"/>
          <w:i/>
          <w:color w:val="4F81BD"/>
        </w:rPr>
      </w:pPr>
      <w:r w:rsidRPr="00145B09">
        <w:rPr>
          <w:rFonts w:ascii="Arial" w:hAnsi="Arial" w:cs="Arial"/>
          <w:i/>
          <w:color w:val="2E74B5" w:themeColor="accent5" w:themeShade="BF"/>
        </w:rPr>
        <w:t>Circulatory Diseases</w:t>
      </w:r>
    </w:p>
    <w:p w14:paraId="73196034" w14:textId="7FD989C6" w:rsidR="003F4AD1" w:rsidRPr="006A1432" w:rsidRDefault="003F4AD1" w:rsidP="0041356A">
      <w:pPr>
        <w:rPr>
          <w:rFonts w:ascii="Arial" w:hAnsi="Arial" w:cs="Arial"/>
        </w:rPr>
      </w:pPr>
      <w:r w:rsidRPr="006A1432">
        <w:rPr>
          <w:rFonts w:ascii="Arial" w:hAnsi="Arial" w:cs="Arial"/>
        </w:rPr>
        <w:t>The percentages with hypertension</w:t>
      </w:r>
      <w:r w:rsidR="009458B7">
        <w:rPr>
          <w:rFonts w:ascii="Arial" w:hAnsi="Arial" w:cs="Arial"/>
        </w:rPr>
        <w:t xml:space="preserve"> and </w:t>
      </w:r>
      <w:r w:rsidR="00233C69">
        <w:rPr>
          <w:rFonts w:ascii="Arial" w:hAnsi="Arial" w:cs="Arial"/>
        </w:rPr>
        <w:t xml:space="preserve">heart failure are </w:t>
      </w:r>
      <w:r w:rsidR="003C29D1">
        <w:rPr>
          <w:rFonts w:ascii="Arial" w:hAnsi="Arial" w:cs="Arial"/>
        </w:rPr>
        <w:t xml:space="preserve">significantly </w:t>
      </w:r>
      <w:r w:rsidRPr="006A1432">
        <w:rPr>
          <w:rFonts w:ascii="Arial" w:hAnsi="Arial" w:cs="Arial"/>
        </w:rPr>
        <w:t xml:space="preserve">lower than the Calderdale average and the percentages with </w:t>
      </w:r>
      <w:r w:rsidR="009A3484" w:rsidRPr="006A1432">
        <w:rPr>
          <w:rFonts w:ascii="Arial" w:hAnsi="Arial" w:cs="Arial"/>
        </w:rPr>
        <w:t xml:space="preserve">heart </w:t>
      </w:r>
      <w:r w:rsidR="00233C69">
        <w:rPr>
          <w:rFonts w:ascii="Arial" w:hAnsi="Arial" w:cs="Arial"/>
        </w:rPr>
        <w:t>disease</w:t>
      </w:r>
      <w:r w:rsidR="009458B7">
        <w:rPr>
          <w:rFonts w:ascii="Arial" w:hAnsi="Arial" w:cs="Arial"/>
        </w:rPr>
        <w:t xml:space="preserve"> and stroke</w:t>
      </w:r>
      <w:r w:rsidRPr="006A1432">
        <w:rPr>
          <w:rFonts w:ascii="Arial" w:hAnsi="Arial" w:cs="Arial"/>
        </w:rPr>
        <w:t xml:space="preserve"> are </w:t>
      </w:r>
      <w:proofErr w:type="gramStart"/>
      <w:r w:rsidR="00233C69">
        <w:rPr>
          <w:rFonts w:ascii="Arial" w:hAnsi="Arial" w:cs="Arial"/>
        </w:rPr>
        <w:t>similar to</w:t>
      </w:r>
      <w:proofErr w:type="gramEnd"/>
      <w:r w:rsidRPr="006A1432">
        <w:rPr>
          <w:rFonts w:ascii="Arial" w:hAnsi="Arial" w:cs="Arial"/>
        </w:rPr>
        <w:t xml:space="preserve"> the Calderdale average.</w:t>
      </w:r>
      <w:r w:rsidR="009A3484">
        <w:rPr>
          <w:rFonts w:ascii="Arial" w:hAnsi="Arial" w:cs="Arial"/>
        </w:rPr>
        <w:t xml:space="preserve"> </w:t>
      </w:r>
      <w:r w:rsidRPr="006A1432">
        <w:rPr>
          <w:rFonts w:ascii="Arial" w:hAnsi="Arial" w:cs="Arial"/>
        </w:rPr>
        <w:t xml:space="preserve">Deaths from cerebrovascular disease are </w:t>
      </w:r>
      <w:r w:rsidR="009A3484">
        <w:rPr>
          <w:rFonts w:ascii="Arial" w:hAnsi="Arial" w:cs="Arial"/>
        </w:rPr>
        <w:t>significantly higher than the Calderdale average</w:t>
      </w:r>
      <w:r w:rsidRPr="006A1432">
        <w:rPr>
          <w:rFonts w:ascii="Arial" w:hAnsi="Arial" w:cs="Arial"/>
        </w:rPr>
        <w:t xml:space="preserve"> given the age structure of the population.</w:t>
      </w:r>
      <w:r w:rsidR="009A3484">
        <w:rPr>
          <w:rFonts w:ascii="Arial" w:hAnsi="Arial" w:cs="Arial"/>
        </w:rPr>
        <w:t xml:space="preserve"> Deaths from c</w:t>
      </w:r>
      <w:r w:rsidR="009A3484" w:rsidRPr="009A3484">
        <w:rPr>
          <w:rFonts w:ascii="Arial" w:hAnsi="Arial" w:cs="Arial"/>
        </w:rPr>
        <w:t xml:space="preserve">ardiovascular </w:t>
      </w:r>
      <w:r w:rsidR="009A3484">
        <w:rPr>
          <w:rFonts w:ascii="Arial" w:hAnsi="Arial" w:cs="Arial"/>
        </w:rPr>
        <w:t>d</w:t>
      </w:r>
      <w:r w:rsidR="009A3484" w:rsidRPr="009A3484">
        <w:rPr>
          <w:rFonts w:ascii="Arial" w:hAnsi="Arial" w:cs="Arial"/>
        </w:rPr>
        <w:t>isease</w:t>
      </w:r>
      <w:r w:rsidR="009A3484">
        <w:rPr>
          <w:rFonts w:ascii="Arial" w:hAnsi="Arial" w:cs="Arial"/>
        </w:rPr>
        <w:t xml:space="preserve"> and heart disease are </w:t>
      </w:r>
      <w:r w:rsidR="00233C69">
        <w:rPr>
          <w:rFonts w:ascii="Arial" w:hAnsi="Arial" w:cs="Arial"/>
        </w:rPr>
        <w:t xml:space="preserve">also significantly </w:t>
      </w:r>
      <w:r w:rsidR="009A3484">
        <w:rPr>
          <w:rFonts w:ascii="Arial" w:hAnsi="Arial" w:cs="Arial"/>
        </w:rPr>
        <w:t>higher than Calderdale.</w:t>
      </w:r>
    </w:p>
    <w:p w14:paraId="2F8CA9AC" w14:textId="77777777" w:rsidR="00633C12" w:rsidRPr="006A1432" w:rsidRDefault="00633C12" w:rsidP="0041356A">
      <w:pPr>
        <w:rPr>
          <w:rFonts w:ascii="Arial" w:hAnsi="Arial" w:cs="Arial"/>
          <w:i/>
          <w:color w:val="4F81BD"/>
        </w:rPr>
      </w:pPr>
      <w:r w:rsidRPr="00145B09">
        <w:rPr>
          <w:rFonts w:ascii="Arial" w:hAnsi="Arial" w:cs="Arial"/>
          <w:i/>
          <w:color w:val="2E74B5" w:themeColor="accent5" w:themeShade="BF"/>
        </w:rPr>
        <w:t>Cancer</w:t>
      </w:r>
    </w:p>
    <w:p w14:paraId="4255EBD9" w14:textId="4C1FC8F4" w:rsidR="003F4AD1" w:rsidRPr="006A1432" w:rsidRDefault="003F4AD1" w:rsidP="0041356A">
      <w:pPr>
        <w:rPr>
          <w:rFonts w:ascii="Arial" w:hAnsi="Arial" w:cs="Arial"/>
          <w:color w:val="000000"/>
        </w:rPr>
      </w:pPr>
      <w:r w:rsidRPr="006A1432">
        <w:rPr>
          <w:rFonts w:ascii="Arial" w:hAnsi="Arial" w:cs="Arial"/>
          <w:color w:val="000000"/>
        </w:rPr>
        <w:t xml:space="preserve">Screening rates for cervical and bowel cancer are all </w:t>
      </w:r>
      <w:r w:rsidR="009A3484">
        <w:rPr>
          <w:rFonts w:ascii="Arial" w:hAnsi="Arial" w:cs="Arial"/>
          <w:color w:val="000000"/>
        </w:rPr>
        <w:t xml:space="preserve">significantly </w:t>
      </w:r>
      <w:r w:rsidRPr="006A1432">
        <w:rPr>
          <w:rFonts w:ascii="Arial" w:hAnsi="Arial" w:cs="Arial"/>
          <w:color w:val="000000"/>
        </w:rPr>
        <w:t>worse than the Calderdale average</w:t>
      </w:r>
      <w:r w:rsidR="00CA63BD">
        <w:rPr>
          <w:rFonts w:ascii="Arial" w:hAnsi="Arial" w:cs="Arial"/>
          <w:color w:val="000000"/>
        </w:rPr>
        <w:t xml:space="preserve"> </w:t>
      </w:r>
      <w:r w:rsidR="001A004E">
        <w:rPr>
          <w:rFonts w:ascii="Arial" w:hAnsi="Arial" w:cs="Arial"/>
          <w:color w:val="000000"/>
        </w:rPr>
        <w:t>though the</w:t>
      </w:r>
      <w:r w:rsidR="00CA63BD">
        <w:rPr>
          <w:rFonts w:ascii="Arial" w:hAnsi="Arial" w:cs="Arial"/>
          <w:color w:val="000000"/>
        </w:rPr>
        <w:t xml:space="preserve"> breast cancer screening</w:t>
      </w:r>
      <w:r w:rsidR="001A004E">
        <w:rPr>
          <w:rFonts w:ascii="Arial" w:hAnsi="Arial" w:cs="Arial"/>
          <w:color w:val="000000"/>
        </w:rPr>
        <w:t xml:space="preserve"> rate</w:t>
      </w:r>
      <w:r w:rsidR="00CA63BD">
        <w:rPr>
          <w:rFonts w:ascii="Arial" w:hAnsi="Arial" w:cs="Arial"/>
          <w:color w:val="000000"/>
        </w:rPr>
        <w:t xml:space="preserve"> is significantly better</w:t>
      </w:r>
      <w:r w:rsidR="00044624" w:rsidRPr="006A1432">
        <w:rPr>
          <w:rFonts w:ascii="Arial" w:hAnsi="Arial" w:cs="Arial"/>
          <w:color w:val="000000"/>
        </w:rPr>
        <w:t xml:space="preserve">. </w:t>
      </w:r>
      <w:r w:rsidRPr="006A1432">
        <w:rPr>
          <w:rFonts w:ascii="Arial" w:hAnsi="Arial" w:cs="Arial"/>
          <w:color w:val="000000"/>
        </w:rPr>
        <w:t>The p</w:t>
      </w:r>
      <w:r w:rsidR="001A004E">
        <w:rPr>
          <w:rFonts w:ascii="Arial" w:hAnsi="Arial" w:cs="Arial"/>
          <w:color w:val="000000"/>
        </w:rPr>
        <w:t>revalence of any type of cancer</w:t>
      </w:r>
      <w:r w:rsidRPr="006A1432">
        <w:rPr>
          <w:rFonts w:ascii="Arial" w:hAnsi="Arial" w:cs="Arial"/>
          <w:color w:val="000000"/>
        </w:rPr>
        <w:t xml:space="preserve"> is </w:t>
      </w:r>
      <w:r w:rsidR="009A3484">
        <w:rPr>
          <w:rFonts w:ascii="Arial" w:hAnsi="Arial" w:cs="Arial"/>
          <w:color w:val="000000"/>
        </w:rPr>
        <w:t>significantly</w:t>
      </w:r>
      <w:r w:rsidRPr="006A1432">
        <w:rPr>
          <w:rFonts w:ascii="Arial" w:hAnsi="Arial" w:cs="Arial"/>
          <w:color w:val="000000"/>
        </w:rPr>
        <w:t xml:space="preserve"> lower than the Calderdale average</w:t>
      </w:r>
      <w:r w:rsidR="0041744C">
        <w:rPr>
          <w:rFonts w:ascii="Arial" w:hAnsi="Arial" w:cs="Arial"/>
          <w:color w:val="000000"/>
        </w:rPr>
        <w:t xml:space="preserve"> and </w:t>
      </w:r>
      <w:r w:rsidR="001A004E">
        <w:rPr>
          <w:rFonts w:ascii="Arial" w:hAnsi="Arial" w:cs="Arial"/>
          <w:color w:val="000000"/>
        </w:rPr>
        <w:t>there is also</w:t>
      </w:r>
      <w:r w:rsidR="0041744C">
        <w:rPr>
          <w:rFonts w:ascii="Arial" w:hAnsi="Arial" w:cs="Arial"/>
          <w:color w:val="000000"/>
        </w:rPr>
        <w:t xml:space="preserve"> a lower</w:t>
      </w:r>
      <w:r w:rsidRPr="006A1432">
        <w:rPr>
          <w:rFonts w:ascii="Arial" w:hAnsi="Arial" w:cs="Arial"/>
          <w:color w:val="000000"/>
        </w:rPr>
        <w:t xml:space="preserve"> </w:t>
      </w:r>
      <w:r w:rsidR="00CA63BD">
        <w:rPr>
          <w:rFonts w:ascii="Arial" w:hAnsi="Arial" w:cs="Arial"/>
          <w:color w:val="000000"/>
        </w:rPr>
        <w:t xml:space="preserve">emergency </w:t>
      </w:r>
      <w:r w:rsidRPr="006A1432">
        <w:rPr>
          <w:rFonts w:ascii="Arial" w:hAnsi="Arial" w:cs="Arial"/>
          <w:color w:val="000000"/>
        </w:rPr>
        <w:t>admission rate for cancer</w:t>
      </w:r>
      <w:r w:rsidR="00044624">
        <w:rPr>
          <w:rFonts w:ascii="Arial" w:hAnsi="Arial" w:cs="Arial"/>
          <w:color w:val="000000"/>
        </w:rPr>
        <w:t xml:space="preserve">. </w:t>
      </w:r>
      <w:r w:rsidR="00E6322A">
        <w:rPr>
          <w:rFonts w:ascii="Arial" w:hAnsi="Arial" w:cs="Arial"/>
          <w:color w:val="000000"/>
        </w:rPr>
        <w:t>The rate of those</w:t>
      </w:r>
      <w:r w:rsidR="00121C3F">
        <w:rPr>
          <w:rFonts w:ascii="Arial" w:hAnsi="Arial" w:cs="Arial"/>
          <w:color w:val="000000"/>
        </w:rPr>
        <w:t xml:space="preserve"> </w:t>
      </w:r>
      <w:r w:rsidR="0041744C">
        <w:rPr>
          <w:rFonts w:ascii="Arial" w:hAnsi="Arial" w:cs="Arial"/>
          <w:color w:val="000000"/>
        </w:rPr>
        <w:t>receiving p</w:t>
      </w:r>
      <w:r w:rsidR="0041744C" w:rsidRPr="0041744C">
        <w:rPr>
          <w:rFonts w:ascii="Arial" w:hAnsi="Arial" w:cs="Arial"/>
          <w:color w:val="000000"/>
        </w:rPr>
        <w:t xml:space="preserve">alliative/supportive care </w:t>
      </w:r>
      <w:r w:rsidRPr="006A1432">
        <w:rPr>
          <w:rFonts w:ascii="Arial" w:hAnsi="Arial" w:cs="Arial"/>
          <w:color w:val="000000"/>
        </w:rPr>
        <w:t xml:space="preserve">is </w:t>
      </w:r>
      <w:proofErr w:type="gramStart"/>
      <w:r w:rsidR="0041744C">
        <w:rPr>
          <w:rFonts w:ascii="Arial" w:hAnsi="Arial" w:cs="Arial"/>
          <w:color w:val="000000"/>
        </w:rPr>
        <w:t>similar to</w:t>
      </w:r>
      <w:proofErr w:type="gramEnd"/>
      <w:r w:rsidRPr="006A1432">
        <w:rPr>
          <w:rFonts w:ascii="Arial" w:hAnsi="Arial" w:cs="Arial"/>
          <w:color w:val="000000"/>
        </w:rPr>
        <w:t xml:space="preserve"> the Calderdale average</w:t>
      </w:r>
      <w:r w:rsidR="00044624" w:rsidRPr="006A1432">
        <w:rPr>
          <w:rFonts w:ascii="Arial" w:hAnsi="Arial" w:cs="Arial"/>
          <w:color w:val="000000"/>
        </w:rPr>
        <w:t xml:space="preserve">. </w:t>
      </w:r>
    </w:p>
    <w:p w14:paraId="7545BECB" w14:textId="66464226" w:rsidR="00190BEF" w:rsidRPr="006A1432" w:rsidRDefault="00190BEF" w:rsidP="0041356A">
      <w:pPr>
        <w:rPr>
          <w:rFonts w:ascii="Arial" w:hAnsi="Arial" w:cs="Arial"/>
          <w:color w:val="000000"/>
        </w:rPr>
      </w:pPr>
      <w:r w:rsidRPr="006A1432">
        <w:rPr>
          <w:rFonts w:ascii="Arial" w:hAnsi="Arial" w:cs="Arial"/>
          <w:color w:val="000000"/>
        </w:rPr>
        <w:t xml:space="preserve">The death rate from cancer is </w:t>
      </w:r>
      <w:proofErr w:type="gramStart"/>
      <w:r w:rsidR="0041744C">
        <w:rPr>
          <w:rFonts w:ascii="Arial" w:hAnsi="Arial" w:cs="Arial"/>
          <w:color w:val="000000"/>
        </w:rPr>
        <w:t>similar to</w:t>
      </w:r>
      <w:proofErr w:type="gramEnd"/>
      <w:r w:rsidR="0041744C">
        <w:rPr>
          <w:rFonts w:ascii="Arial" w:hAnsi="Arial" w:cs="Arial"/>
          <w:color w:val="000000"/>
        </w:rPr>
        <w:t xml:space="preserve"> Calderdale</w:t>
      </w:r>
      <w:r w:rsidR="00DA427E">
        <w:rPr>
          <w:rFonts w:ascii="Arial" w:hAnsi="Arial" w:cs="Arial"/>
          <w:color w:val="000000"/>
        </w:rPr>
        <w:t xml:space="preserve"> rate</w:t>
      </w:r>
      <w:r w:rsidRPr="006A1432">
        <w:rPr>
          <w:rFonts w:ascii="Arial" w:hAnsi="Arial" w:cs="Arial"/>
          <w:color w:val="000000"/>
        </w:rPr>
        <w:t>.</w:t>
      </w:r>
    </w:p>
    <w:p w14:paraId="0FB55F38" w14:textId="77777777" w:rsidR="00A35BB8" w:rsidRPr="006A1432" w:rsidRDefault="00A35BB8" w:rsidP="0041356A">
      <w:pPr>
        <w:rPr>
          <w:rFonts w:ascii="Arial" w:hAnsi="Arial" w:cs="Arial"/>
          <w:i/>
          <w:color w:val="4F81BD"/>
        </w:rPr>
      </w:pPr>
      <w:r w:rsidRPr="00145B09">
        <w:rPr>
          <w:rFonts w:ascii="Arial" w:hAnsi="Arial" w:cs="Arial"/>
          <w:i/>
          <w:color w:val="2E74B5" w:themeColor="accent5" w:themeShade="BF"/>
        </w:rPr>
        <w:t>Mental Health</w:t>
      </w:r>
    </w:p>
    <w:p w14:paraId="50B37D10" w14:textId="44F88DCB" w:rsidR="00CA63BD" w:rsidRDefault="00190BEF" w:rsidP="0041356A">
      <w:pPr>
        <w:rPr>
          <w:rFonts w:ascii="Arial" w:hAnsi="Arial" w:cs="Arial"/>
        </w:rPr>
      </w:pPr>
      <w:r w:rsidRPr="006A1432">
        <w:rPr>
          <w:rFonts w:ascii="Arial" w:hAnsi="Arial" w:cs="Arial"/>
        </w:rPr>
        <w:t xml:space="preserve">The percentage diagnosed with depression each year is </w:t>
      </w:r>
      <w:proofErr w:type="gramStart"/>
      <w:r w:rsidR="00CA63BD">
        <w:rPr>
          <w:rFonts w:ascii="Arial" w:hAnsi="Arial" w:cs="Arial"/>
        </w:rPr>
        <w:t>similar to</w:t>
      </w:r>
      <w:proofErr w:type="gramEnd"/>
      <w:r w:rsidRPr="006A1432">
        <w:rPr>
          <w:rFonts w:ascii="Arial" w:hAnsi="Arial" w:cs="Arial"/>
        </w:rPr>
        <w:t xml:space="preserve"> the Calderdale average</w:t>
      </w:r>
      <w:r w:rsidR="00DA427E">
        <w:rPr>
          <w:rFonts w:ascii="Arial" w:hAnsi="Arial" w:cs="Arial"/>
        </w:rPr>
        <w:t>, p</w:t>
      </w:r>
      <w:r w:rsidR="00DA427E">
        <w:rPr>
          <w:rFonts w:ascii="Arial" w:hAnsi="Arial" w:cs="Arial"/>
          <w:color w:val="000000"/>
        </w:rPr>
        <w:t>atients are only recorded as having depression if they receive medication, so if those not taking medication were included the numbers could be higher. T</w:t>
      </w:r>
      <w:r w:rsidR="00DA427E" w:rsidRPr="00A81FD1">
        <w:rPr>
          <w:rFonts w:ascii="Arial" w:hAnsi="Arial" w:cs="Arial"/>
          <w:color w:val="000000"/>
        </w:rPr>
        <w:t>he proportion living with mental health</w:t>
      </w:r>
      <w:r w:rsidR="00DA427E">
        <w:rPr>
          <w:rFonts w:ascii="Arial" w:hAnsi="Arial" w:cs="Arial"/>
          <w:color w:val="000000"/>
        </w:rPr>
        <w:t xml:space="preserve"> (schizophrenia, bipolar affective </w:t>
      </w:r>
      <w:r w:rsidR="008815ED">
        <w:rPr>
          <w:rFonts w:ascii="Arial" w:hAnsi="Arial" w:cs="Arial"/>
          <w:color w:val="000000"/>
        </w:rPr>
        <w:t>disorder,</w:t>
      </w:r>
      <w:r w:rsidR="00DA427E">
        <w:rPr>
          <w:rFonts w:ascii="Arial" w:hAnsi="Arial" w:cs="Arial"/>
          <w:color w:val="000000"/>
        </w:rPr>
        <w:t xml:space="preserve"> and other psychoses)</w:t>
      </w:r>
      <w:r w:rsidRPr="006A1432">
        <w:rPr>
          <w:rFonts w:ascii="Arial" w:hAnsi="Arial" w:cs="Arial"/>
        </w:rPr>
        <w:t xml:space="preserve"> is </w:t>
      </w:r>
      <w:r w:rsidR="00CA63BD">
        <w:rPr>
          <w:rFonts w:ascii="Arial" w:hAnsi="Arial" w:cs="Arial"/>
        </w:rPr>
        <w:t xml:space="preserve">also </w:t>
      </w:r>
      <w:proofErr w:type="gramStart"/>
      <w:r w:rsidRPr="006A1432">
        <w:rPr>
          <w:rFonts w:ascii="Arial" w:hAnsi="Arial" w:cs="Arial"/>
        </w:rPr>
        <w:t>similar to</w:t>
      </w:r>
      <w:proofErr w:type="gramEnd"/>
      <w:r w:rsidRPr="006A1432">
        <w:rPr>
          <w:rFonts w:ascii="Arial" w:hAnsi="Arial" w:cs="Arial"/>
        </w:rPr>
        <w:t xml:space="preserve"> the Calderdale average</w:t>
      </w:r>
      <w:r w:rsidR="00044624" w:rsidRPr="006A1432">
        <w:rPr>
          <w:rFonts w:ascii="Arial" w:hAnsi="Arial" w:cs="Arial"/>
        </w:rPr>
        <w:t xml:space="preserve">. </w:t>
      </w:r>
    </w:p>
    <w:p w14:paraId="3C12A95B" w14:textId="7C4E88DA" w:rsidR="00190BEF" w:rsidRPr="006A1432" w:rsidRDefault="00190BEF" w:rsidP="0041356A">
      <w:pPr>
        <w:rPr>
          <w:rFonts w:ascii="Arial" w:hAnsi="Arial" w:cs="Arial"/>
        </w:rPr>
      </w:pPr>
      <w:r w:rsidRPr="006A1432">
        <w:rPr>
          <w:rFonts w:ascii="Arial" w:hAnsi="Arial" w:cs="Arial"/>
        </w:rPr>
        <w:t xml:space="preserve">The death rate from suicide is </w:t>
      </w:r>
      <w:r w:rsidR="008D3860">
        <w:rPr>
          <w:rFonts w:ascii="Arial" w:hAnsi="Arial" w:cs="Arial"/>
        </w:rPr>
        <w:t>not significantly different to the overall Calderdale rate</w:t>
      </w:r>
      <w:r w:rsidRPr="006A1432">
        <w:rPr>
          <w:rFonts w:ascii="Arial" w:hAnsi="Arial" w:cs="Arial"/>
        </w:rPr>
        <w:t xml:space="preserve">. </w:t>
      </w:r>
    </w:p>
    <w:p w14:paraId="32F7E2DF" w14:textId="77777777" w:rsidR="006B2E7E" w:rsidRPr="006A1432" w:rsidRDefault="006B2E7E" w:rsidP="0041356A">
      <w:pPr>
        <w:rPr>
          <w:rFonts w:ascii="Arial" w:hAnsi="Arial" w:cs="Arial"/>
          <w:i/>
          <w:color w:val="4F81BD"/>
        </w:rPr>
      </w:pPr>
      <w:r w:rsidRPr="00145B09">
        <w:rPr>
          <w:rFonts w:ascii="Arial" w:hAnsi="Arial" w:cs="Arial"/>
          <w:i/>
          <w:color w:val="2E74B5" w:themeColor="accent5" w:themeShade="BF"/>
        </w:rPr>
        <w:t>Respiratory Conditions</w:t>
      </w:r>
    </w:p>
    <w:p w14:paraId="6AC7648B" w14:textId="490DD274" w:rsidR="00190BEF" w:rsidRPr="006A1432" w:rsidRDefault="00190BEF" w:rsidP="0041356A">
      <w:pPr>
        <w:rPr>
          <w:rFonts w:ascii="Arial" w:hAnsi="Arial" w:cs="Arial"/>
        </w:rPr>
      </w:pPr>
      <w:r w:rsidRPr="006A1432">
        <w:rPr>
          <w:rFonts w:ascii="Arial" w:hAnsi="Arial" w:cs="Arial"/>
        </w:rPr>
        <w:t>The percentages living with COPD</w:t>
      </w:r>
      <w:r w:rsidR="009458B7">
        <w:rPr>
          <w:rFonts w:ascii="Arial" w:hAnsi="Arial" w:cs="Arial"/>
        </w:rPr>
        <w:t xml:space="preserve"> and Asthma</w:t>
      </w:r>
      <w:r w:rsidRPr="006A1432">
        <w:rPr>
          <w:rFonts w:ascii="Arial" w:hAnsi="Arial" w:cs="Arial"/>
        </w:rPr>
        <w:t xml:space="preserve"> </w:t>
      </w:r>
      <w:r w:rsidR="008629F9">
        <w:rPr>
          <w:rFonts w:ascii="Arial" w:hAnsi="Arial" w:cs="Arial"/>
        </w:rPr>
        <w:t>is</w:t>
      </w:r>
      <w:r w:rsidR="009458B7">
        <w:rPr>
          <w:rFonts w:ascii="Arial" w:hAnsi="Arial" w:cs="Arial"/>
        </w:rPr>
        <w:t xml:space="preserve"> significantly</w:t>
      </w:r>
      <w:r w:rsidR="008629F9">
        <w:rPr>
          <w:rFonts w:ascii="Arial" w:hAnsi="Arial" w:cs="Arial"/>
        </w:rPr>
        <w:t xml:space="preserve"> </w:t>
      </w:r>
      <w:r w:rsidRPr="006A1432">
        <w:rPr>
          <w:rFonts w:ascii="Arial" w:hAnsi="Arial" w:cs="Arial"/>
        </w:rPr>
        <w:t>lower than Calderdale</w:t>
      </w:r>
      <w:r w:rsidR="00044624" w:rsidRPr="006A1432">
        <w:rPr>
          <w:rFonts w:ascii="Arial" w:hAnsi="Arial" w:cs="Arial"/>
        </w:rPr>
        <w:t xml:space="preserve">. </w:t>
      </w:r>
      <w:r w:rsidRPr="006A1432">
        <w:rPr>
          <w:rFonts w:ascii="Arial" w:hAnsi="Arial" w:cs="Arial"/>
        </w:rPr>
        <w:t xml:space="preserve">Death rates from respiratory conditions are </w:t>
      </w:r>
      <w:proofErr w:type="gramStart"/>
      <w:r w:rsidRPr="006A1432">
        <w:rPr>
          <w:rFonts w:ascii="Arial" w:hAnsi="Arial" w:cs="Arial"/>
        </w:rPr>
        <w:t>similar to</w:t>
      </w:r>
      <w:proofErr w:type="gramEnd"/>
      <w:r w:rsidRPr="006A1432">
        <w:rPr>
          <w:rFonts w:ascii="Arial" w:hAnsi="Arial" w:cs="Arial"/>
        </w:rPr>
        <w:t xml:space="preserve"> the Calderdale average</w:t>
      </w:r>
      <w:r w:rsidR="00CA63BD">
        <w:rPr>
          <w:rFonts w:ascii="Arial" w:hAnsi="Arial" w:cs="Arial"/>
        </w:rPr>
        <w:t xml:space="preserve">, apart from </w:t>
      </w:r>
      <w:r w:rsidR="00E6322A">
        <w:rPr>
          <w:rFonts w:ascii="Arial" w:hAnsi="Arial" w:cs="Arial"/>
        </w:rPr>
        <w:t xml:space="preserve">in those aged </w:t>
      </w:r>
      <w:r w:rsidR="00CA63BD">
        <w:rPr>
          <w:rFonts w:ascii="Arial" w:hAnsi="Arial" w:cs="Arial"/>
        </w:rPr>
        <w:t>under 65, where it’s significantly worse</w:t>
      </w:r>
      <w:r w:rsidRPr="006A1432">
        <w:rPr>
          <w:rFonts w:ascii="Arial" w:hAnsi="Arial" w:cs="Arial"/>
        </w:rPr>
        <w:t>.</w:t>
      </w:r>
    </w:p>
    <w:p w14:paraId="7E691909" w14:textId="77777777" w:rsidR="006B2E7E" w:rsidRPr="006A1432" w:rsidRDefault="006B2E7E" w:rsidP="0041356A">
      <w:pPr>
        <w:rPr>
          <w:rFonts w:ascii="Arial" w:hAnsi="Arial" w:cs="Arial"/>
          <w:i/>
          <w:color w:val="4F81BD"/>
        </w:rPr>
      </w:pPr>
      <w:r w:rsidRPr="00145B09">
        <w:rPr>
          <w:rFonts w:ascii="Arial" w:hAnsi="Arial" w:cs="Arial"/>
          <w:i/>
          <w:color w:val="2E74B5" w:themeColor="accent5" w:themeShade="BF"/>
        </w:rPr>
        <w:t>Other</w:t>
      </w:r>
    </w:p>
    <w:p w14:paraId="20F267E1" w14:textId="13078931" w:rsidR="006B2E7E" w:rsidRPr="006A1432" w:rsidRDefault="006B2E7E" w:rsidP="0041356A">
      <w:pPr>
        <w:rPr>
          <w:rFonts w:ascii="Arial" w:hAnsi="Arial" w:cs="Arial"/>
        </w:rPr>
      </w:pPr>
      <w:r w:rsidRPr="006A1432">
        <w:rPr>
          <w:rFonts w:ascii="Arial" w:hAnsi="Arial" w:cs="Arial"/>
        </w:rPr>
        <w:t>The proportion</w:t>
      </w:r>
      <w:r w:rsidR="008629F9">
        <w:rPr>
          <w:rFonts w:ascii="Arial" w:hAnsi="Arial" w:cs="Arial"/>
        </w:rPr>
        <w:t xml:space="preserve"> of people</w:t>
      </w:r>
      <w:r w:rsidRPr="006A1432">
        <w:rPr>
          <w:rFonts w:ascii="Arial" w:hAnsi="Arial" w:cs="Arial"/>
        </w:rPr>
        <w:t xml:space="preserve"> liv</w:t>
      </w:r>
      <w:r w:rsidR="00190BEF" w:rsidRPr="006A1432">
        <w:rPr>
          <w:rFonts w:ascii="Arial" w:hAnsi="Arial" w:cs="Arial"/>
        </w:rPr>
        <w:t xml:space="preserve">ing with diabetes </w:t>
      </w:r>
      <w:r w:rsidR="00875B17">
        <w:rPr>
          <w:rFonts w:ascii="Arial" w:hAnsi="Arial" w:cs="Arial"/>
        </w:rPr>
        <w:t xml:space="preserve">is significantly </w:t>
      </w:r>
      <w:r w:rsidR="009458B7">
        <w:rPr>
          <w:rFonts w:ascii="Arial" w:hAnsi="Arial" w:cs="Arial"/>
        </w:rPr>
        <w:t>higher</w:t>
      </w:r>
      <w:r w:rsidR="00190BEF" w:rsidRPr="006A1432">
        <w:rPr>
          <w:rFonts w:ascii="Arial" w:hAnsi="Arial" w:cs="Arial"/>
        </w:rPr>
        <w:t xml:space="preserve"> than the Calderdale average</w:t>
      </w:r>
      <w:r w:rsidR="00044624" w:rsidRPr="006A1432">
        <w:rPr>
          <w:rFonts w:ascii="Arial" w:hAnsi="Arial" w:cs="Arial"/>
        </w:rPr>
        <w:t xml:space="preserve">. </w:t>
      </w:r>
    </w:p>
    <w:p w14:paraId="30557637" w14:textId="77777777" w:rsidR="00B164BF" w:rsidRPr="006A1432" w:rsidRDefault="00B164BF" w:rsidP="0041356A">
      <w:pPr>
        <w:rPr>
          <w:rFonts w:ascii="Arial" w:hAnsi="Arial" w:cs="Arial"/>
          <w:b/>
          <w:color w:val="4F81BD"/>
        </w:rPr>
      </w:pPr>
      <w:r w:rsidRPr="00145B09">
        <w:rPr>
          <w:rFonts w:ascii="Arial" w:hAnsi="Arial" w:cs="Arial"/>
          <w:b/>
          <w:color w:val="2E74B5" w:themeColor="accent5" w:themeShade="BF"/>
        </w:rPr>
        <w:t>What do people die from?</w:t>
      </w:r>
    </w:p>
    <w:p w14:paraId="59A4EEA0" w14:textId="4D80BC4B" w:rsidR="00CB2ACB" w:rsidRPr="006A1432" w:rsidRDefault="00935CC4" w:rsidP="0041356A">
      <w:pPr>
        <w:rPr>
          <w:rFonts w:ascii="Arial" w:hAnsi="Arial" w:cs="Arial"/>
        </w:rPr>
      </w:pPr>
      <w:r w:rsidRPr="006A1432">
        <w:rPr>
          <w:rFonts w:ascii="Arial" w:hAnsi="Arial" w:cs="Arial"/>
        </w:rPr>
        <w:t xml:space="preserve">On average, around </w:t>
      </w:r>
      <w:r w:rsidR="005374F8">
        <w:rPr>
          <w:rFonts w:ascii="Arial" w:hAnsi="Arial" w:cs="Arial"/>
        </w:rPr>
        <w:t>522</w:t>
      </w:r>
      <w:r w:rsidR="003A3DCE" w:rsidRPr="006A1432">
        <w:rPr>
          <w:rFonts w:ascii="Arial" w:hAnsi="Arial" w:cs="Arial"/>
        </w:rPr>
        <w:t xml:space="preserve"> of Central</w:t>
      </w:r>
      <w:r w:rsidR="00E51C84" w:rsidRPr="006A1432">
        <w:rPr>
          <w:rFonts w:ascii="Arial" w:hAnsi="Arial" w:cs="Arial"/>
        </w:rPr>
        <w:t>’s res</w:t>
      </w:r>
      <w:r w:rsidR="003A3DCE" w:rsidRPr="006A1432">
        <w:rPr>
          <w:rFonts w:ascii="Arial" w:hAnsi="Arial" w:cs="Arial"/>
        </w:rPr>
        <w:t>idents die each year</w:t>
      </w:r>
      <w:r w:rsidR="00044624" w:rsidRPr="006A1432">
        <w:rPr>
          <w:rFonts w:ascii="Arial" w:hAnsi="Arial" w:cs="Arial"/>
        </w:rPr>
        <w:t xml:space="preserve">. </w:t>
      </w:r>
      <w:r w:rsidR="003A3DCE" w:rsidRPr="006A1432">
        <w:rPr>
          <w:rFonts w:ascii="Arial" w:hAnsi="Arial" w:cs="Arial"/>
        </w:rPr>
        <w:t>Around 1</w:t>
      </w:r>
      <w:r w:rsidR="005374F8">
        <w:rPr>
          <w:rFonts w:ascii="Arial" w:hAnsi="Arial" w:cs="Arial"/>
        </w:rPr>
        <w:t>20</w:t>
      </w:r>
      <w:r w:rsidR="00E51C84" w:rsidRPr="006A1432">
        <w:rPr>
          <w:rFonts w:ascii="Arial" w:hAnsi="Arial" w:cs="Arial"/>
        </w:rPr>
        <w:t xml:space="preserve"> peo</w:t>
      </w:r>
      <w:r w:rsidR="003A3DCE" w:rsidRPr="006A1432">
        <w:rPr>
          <w:rFonts w:ascii="Arial" w:hAnsi="Arial" w:cs="Arial"/>
        </w:rPr>
        <w:t xml:space="preserve">ple die per year from cancer, </w:t>
      </w:r>
      <w:r w:rsidR="00944D65">
        <w:rPr>
          <w:rFonts w:ascii="Arial" w:hAnsi="Arial" w:cs="Arial"/>
        </w:rPr>
        <w:t>and a similar number from cardiovascular disease, 67</w:t>
      </w:r>
      <w:r w:rsidR="00944D65" w:rsidRPr="006A1432">
        <w:rPr>
          <w:rFonts w:ascii="Arial" w:hAnsi="Arial" w:cs="Arial"/>
        </w:rPr>
        <w:t xml:space="preserve"> from respiratory conditions</w:t>
      </w:r>
      <w:r w:rsidR="00944D65">
        <w:rPr>
          <w:rFonts w:ascii="Arial" w:hAnsi="Arial" w:cs="Arial"/>
        </w:rPr>
        <w:t>,</w:t>
      </w:r>
      <w:r w:rsidR="00944D65" w:rsidRPr="006A1432">
        <w:rPr>
          <w:rFonts w:ascii="Arial" w:hAnsi="Arial" w:cs="Arial"/>
        </w:rPr>
        <w:t xml:space="preserve"> </w:t>
      </w:r>
      <w:r w:rsidR="003A3DCE" w:rsidRPr="006A1432">
        <w:rPr>
          <w:rFonts w:ascii="Arial" w:hAnsi="Arial" w:cs="Arial"/>
        </w:rPr>
        <w:t>5</w:t>
      </w:r>
      <w:r w:rsidR="00944D65">
        <w:rPr>
          <w:rFonts w:ascii="Arial" w:hAnsi="Arial" w:cs="Arial"/>
        </w:rPr>
        <w:t>0</w:t>
      </w:r>
      <w:r w:rsidR="00E51C84" w:rsidRPr="006A1432">
        <w:rPr>
          <w:rFonts w:ascii="Arial" w:hAnsi="Arial" w:cs="Arial"/>
        </w:rPr>
        <w:t xml:space="preserve"> from ischae</w:t>
      </w:r>
      <w:r w:rsidR="00E95B8F" w:rsidRPr="006A1432">
        <w:rPr>
          <w:rFonts w:ascii="Arial" w:hAnsi="Arial" w:cs="Arial"/>
        </w:rPr>
        <w:t>mic heart disease</w:t>
      </w:r>
      <w:r w:rsidR="005374F8">
        <w:rPr>
          <w:rFonts w:ascii="Arial" w:hAnsi="Arial" w:cs="Arial"/>
        </w:rPr>
        <w:t xml:space="preserve"> and</w:t>
      </w:r>
      <w:r w:rsidR="00E95B8F" w:rsidRPr="006A1432">
        <w:rPr>
          <w:rFonts w:ascii="Arial" w:hAnsi="Arial" w:cs="Arial"/>
        </w:rPr>
        <w:t xml:space="preserve"> </w:t>
      </w:r>
      <w:r w:rsidR="00944D65">
        <w:rPr>
          <w:rFonts w:ascii="Arial" w:hAnsi="Arial" w:cs="Arial"/>
        </w:rPr>
        <w:t>31</w:t>
      </w:r>
      <w:r w:rsidR="00E95B8F" w:rsidRPr="006A1432">
        <w:rPr>
          <w:rFonts w:ascii="Arial" w:hAnsi="Arial" w:cs="Arial"/>
        </w:rPr>
        <w:t xml:space="preserve"> from cerebrovascular disease</w:t>
      </w:r>
      <w:r w:rsidR="009458B7">
        <w:rPr>
          <w:rFonts w:ascii="Arial" w:hAnsi="Arial" w:cs="Arial"/>
        </w:rPr>
        <w:t>.</w:t>
      </w:r>
    </w:p>
    <w:p w14:paraId="4D70F99E" w14:textId="77777777" w:rsidR="009458B7" w:rsidRDefault="009458B7" w:rsidP="0041356A">
      <w:pPr>
        <w:rPr>
          <w:rFonts w:ascii="Arial" w:hAnsi="Arial" w:cs="Arial"/>
          <w:b/>
          <w:i/>
          <w:color w:val="2E74B5" w:themeColor="accent5" w:themeShade="BF"/>
        </w:rPr>
      </w:pPr>
    </w:p>
    <w:p w14:paraId="62910370" w14:textId="77777777" w:rsidR="009458B7" w:rsidRDefault="009458B7" w:rsidP="0041356A">
      <w:pPr>
        <w:rPr>
          <w:rFonts w:ascii="Arial" w:hAnsi="Arial" w:cs="Arial"/>
          <w:b/>
          <w:i/>
          <w:color w:val="2E74B5" w:themeColor="accent5" w:themeShade="BF"/>
        </w:rPr>
      </w:pPr>
    </w:p>
    <w:p w14:paraId="27635761" w14:textId="23052BA3" w:rsidR="0014493D" w:rsidRPr="006A1432" w:rsidRDefault="00FC0AC3" w:rsidP="0041356A">
      <w:pPr>
        <w:rPr>
          <w:rFonts w:ascii="Arial" w:hAnsi="Arial" w:cs="Arial"/>
          <w:b/>
          <w:i/>
          <w:color w:val="4F81BD"/>
        </w:rPr>
      </w:pPr>
      <w:r w:rsidRPr="006255DA">
        <w:rPr>
          <w:rFonts w:ascii="Arial" w:hAnsi="Arial" w:cs="Arial"/>
          <w:b/>
          <w:i/>
          <w:color w:val="2E74B5" w:themeColor="accent5" w:themeShade="BF"/>
        </w:rPr>
        <w:lastRenderedPageBreak/>
        <w:t>Figure 2</w:t>
      </w:r>
      <w:r w:rsidR="0014493D" w:rsidRPr="006255DA">
        <w:rPr>
          <w:rFonts w:ascii="Arial" w:hAnsi="Arial" w:cs="Arial"/>
          <w:b/>
          <w:i/>
          <w:color w:val="2E74B5" w:themeColor="accent5" w:themeShade="BF"/>
        </w:rPr>
        <w:t xml:space="preserve"> </w:t>
      </w:r>
      <w:r w:rsidR="00CC15AF" w:rsidRPr="006255DA">
        <w:rPr>
          <w:rFonts w:ascii="Arial" w:hAnsi="Arial" w:cs="Arial"/>
          <w:b/>
          <w:i/>
          <w:color w:val="2E74B5" w:themeColor="accent5" w:themeShade="BF"/>
        </w:rPr>
        <w:t>Directly Standardised Mortality Rates for Leading Causes of Death</w:t>
      </w:r>
      <w:r w:rsidR="00790AFD">
        <w:rPr>
          <w:rFonts w:ascii="Arial" w:hAnsi="Arial" w:cs="Arial"/>
          <w:b/>
          <w:i/>
          <w:color w:val="2E74B5" w:themeColor="accent5" w:themeShade="BF"/>
        </w:rPr>
        <w:t xml:space="preserve"> </w:t>
      </w:r>
      <w:r w:rsidR="00790AFD" w:rsidRPr="00790AFD">
        <w:rPr>
          <w:rFonts w:ascii="Arial" w:hAnsi="Arial" w:cs="Arial"/>
          <w:b/>
          <w:i/>
          <w:color w:val="2E74B5" w:themeColor="accent5" w:themeShade="BF"/>
        </w:rPr>
        <w:t>2017-2021</w:t>
      </w:r>
    </w:p>
    <w:p w14:paraId="291BE341" w14:textId="2BE16D1D" w:rsidR="00E95B8F" w:rsidRPr="006A1432" w:rsidRDefault="00044624" w:rsidP="0041356A">
      <w:pPr>
        <w:rPr>
          <w:rFonts w:ascii="Arial" w:hAnsi="Arial" w:cs="Arial"/>
          <w:b/>
          <w:i/>
          <w:color w:val="4F81BD"/>
        </w:rPr>
      </w:pPr>
      <w:r>
        <w:rPr>
          <w:rFonts w:ascii="Arial" w:hAnsi="Arial" w:cs="Arial"/>
          <w:b/>
          <w:i/>
          <w:noProof/>
          <w:color w:val="4F81BD"/>
        </w:rPr>
        <w:drawing>
          <wp:inline distT="0" distB="0" distL="0" distR="0" wp14:anchorId="46DFAC23" wp14:editId="43EF31EB">
            <wp:extent cx="6086475" cy="275214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531" cy="27535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F2A09">
        <w:rPr>
          <w:rFonts w:ascii="Arial" w:hAnsi="Arial" w:cs="Arial"/>
          <w:b/>
          <w:i/>
          <w:noProof/>
          <w:color w:val="4F81BD"/>
        </w:rPr>
        <w:t xml:space="preserve"> </w:t>
      </w:r>
    </w:p>
    <w:p w14:paraId="1D5948B6" w14:textId="77777777" w:rsidR="00CF6CBD" w:rsidRPr="00A81FD1" w:rsidRDefault="00CF6CBD" w:rsidP="00CF6CBD">
      <w:pPr>
        <w:rPr>
          <w:rFonts w:ascii="Arial" w:hAnsi="Arial" w:cs="Arial"/>
        </w:rPr>
      </w:pPr>
      <w:r w:rsidRPr="00A81FD1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directly </w:t>
      </w:r>
      <w:r w:rsidRPr="00A81FD1">
        <w:rPr>
          <w:rFonts w:ascii="Arial" w:hAnsi="Arial" w:cs="Arial"/>
        </w:rPr>
        <w:t>standardised mortality rat</w:t>
      </w:r>
      <w:r>
        <w:rPr>
          <w:rFonts w:ascii="Arial" w:hAnsi="Arial" w:cs="Arial"/>
        </w:rPr>
        <w:t>e</w:t>
      </w:r>
      <w:r w:rsidRPr="00A81FD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D</w:t>
      </w:r>
      <w:r w:rsidRPr="00A81FD1">
        <w:rPr>
          <w:rFonts w:ascii="Arial" w:hAnsi="Arial" w:cs="Arial"/>
        </w:rPr>
        <w:t xml:space="preserve">SR) </w:t>
      </w:r>
      <w:proofErr w:type="gramStart"/>
      <w:r>
        <w:rPr>
          <w:rFonts w:ascii="Arial" w:hAnsi="Arial" w:cs="Arial"/>
        </w:rPr>
        <w:t>takes into account</w:t>
      </w:r>
      <w:proofErr w:type="gramEnd"/>
      <w:r>
        <w:rPr>
          <w:rFonts w:ascii="Arial" w:hAnsi="Arial" w:cs="Arial"/>
        </w:rPr>
        <w:t xml:space="preserve"> the age structure of the population and </w:t>
      </w:r>
      <w:r w:rsidRPr="00A81FD1">
        <w:rPr>
          <w:rFonts w:ascii="Arial" w:hAnsi="Arial" w:cs="Arial"/>
        </w:rPr>
        <w:t>shows</w:t>
      </w:r>
      <w:r>
        <w:rPr>
          <w:rFonts w:ascii="Arial" w:hAnsi="Arial" w:cs="Arial"/>
        </w:rPr>
        <w:t xml:space="preserve"> if</w:t>
      </w:r>
      <w:r w:rsidRPr="00A81FD1">
        <w:rPr>
          <w:rFonts w:ascii="Arial" w:hAnsi="Arial" w:cs="Arial"/>
        </w:rPr>
        <w:t xml:space="preserve"> the number of deaths</w:t>
      </w:r>
      <w:r>
        <w:rPr>
          <w:rFonts w:ascii="Arial" w:hAnsi="Arial" w:cs="Arial"/>
        </w:rPr>
        <w:t xml:space="preserve"> per population</w:t>
      </w:r>
      <w:r w:rsidRPr="00A81FD1">
        <w:rPr>
          <w:rFonts w:ascii="Arial" w:hAnsi="Arial" w:cs="Arial"/>
        </w:rPr>
        <w:t xml:space="preserve"> is higher or lower compared to </w:t>
      </w:r>
      <w:r>
        <w:rPr>
          <w:rFonts w:ascii="Arial" w:hAnsi="Arial" w:cs="Arial"/>
        </w:rPr>
        <w:t>area averages</w:t>
      </w:r>
      <w:r w:rsidRPr="00A81FD1">
        <w:rPr>
          <w:rFonts w:ascii="Arial" w:hAnsi="Arial" w:cs="Arial"/>
        </w:rPr>
        <w:t xml:space="preserve">. </w:t>
      </w:r>
    </w:p>
    <w:p w14:paraId="05D7B9B9" w14:textId="0B870B77" w:rsidR="00157890" w:rsidRPr="006A1432" w:rsidRDefault="00157890" w:rsidP="0041356A">
      <w:pPr>
        <w:rPr>
          <w:rFonts w:ascii="Arial" w:hAnsi="Arial" w:cs="Arial"/>
        </w:rPr>
      </w:pPr>
      <w:r w:rsidRPr="006A1432">
        <w:rPr>
          <w:rFonts w:ascii="Arial" w:hAnsi="Arial" w:cs="Arial"/>
        </w:rPr>
        <w:t>Mortality in Central</w:t>
      </w:r>
      <w:r w:rsidR="002530F0" w:rsidRPr="006A1432">
        <w:rPr>
          <w:rFonts w:ascii="Arial" w:hAnsi="Arial" w:cs="Arial"/>
        </w:rPr>
        <w:t xml:space="preserve"> was </w:t>
      </w:r>
      <w:r w:rsidR="00CC15AF">
        <w:rPr>
          <w:rFonts w:ascii="Arial" w:hAnsi="Arial" w:cs="Arial"/>
        </w:rPr>
        <w:t>significantly</w:t>
      </w:r>
      <w:r w:rsidR="002530F0" w:rsidRPr="006A1432">
        <w:rPr>
          <w:rFonts w:ascii="Arial" w:hAnsi="Arial" w:cs="Arial"/>
        </w:rPr>
        <w:t xml:space="preserve"> higher</w:t>
      </w:r>
      <w:r w:rsidR="008B09B1" w:rsidRPr="006A1432">
        <w:rPr>
          <w:rFonts w:ascii="Arial" w:hAnsi="Arial" w:cs="Arial"/>
        </w:rPr>
        <w:t xml:space="preserve"> than </w:t>
      </w:r>
      <w:r w:rsidR="00805CDE">
        <w:rPr>
          <w:rFonts w:ascii="Arial" w:hAnsi="Arial" w:cs="Arial"/>
        </w:rPr>
        <w:t xml:space="preserve">Calderdale </w:t>
      </w:r>
      <w:r w:rsidR="00E95B8F" w:rsidRPr="006A1432">
        <w:rPr>
          <w:rFonts w:ascii="Arial" w:hAnsi="Arial" w:cs="Arial"/>
        </w:rPr>
        <w:t xml:space="preserve">for </w:t>
      </w:r>
      <w:r w:rsidR="002530F0" w:rsidRPr="006A1432">
        <w:rPr>
          <w:rFonts w:ascii="Arial" w:hAnsi="Arial" w:cs="Arial"/>
        </w:rPr>
        <w:t xml:space="preserve">all </w:t>
      </w:r>
      <w:r w:rsidR="008815ED">
        <w:rPr>
          <w:rFonts w:ascii="Arial" w:hAnsi="Arial" w:cs="Arial"/>
        </w:rPr>
        <w:t>deaths</w:t>
      </w:r>
      <w:r w:rsidR="00805CDE">
        <w:rPr>
          <w:rFonts w:ascii="Arial" w:hAnsi="Arial" w:cs="Arial"/>
        </w:rPr>
        <w:t xml:space="preserve"> for all ages</w:t>
      </w:r>
      <w:r w:rsidR="002530F0" w:rsidRPr="006A1432">
        <w:rPr>
          <w:rFonts w:ascii="Arial" w:hAnsi="Arial" w:cs="Arial"/>
        </w:rPr>
        <w:t>,</w:t>
      </w:r>
      <w:r w:rsidRPr="006A1432">
        <w:rPr>
          <w:rFonts w:ascii="Arial" w:hAnsi="Arial" w:cs="Arial"/>
        </w:rPr>
        <w:t xml:space="preserve"> </w:t>
      </w:r>
      <w:r w:rsidR="00CC15AF">
        <w:rPr>
          <w:rFonts w:ascii="Arial" w:hAnsi="Arial" w:cs="Arial"/>
        </w:rPr>
        <w:t>this is also the case for cerebrovascular disease</w:t>
      </w:r>
      <w:r w:rsidR="00DF4670">
        <w:rPr>
          <w:rFonts w:ascii="Arial" w:hAnsi="Arial" w:cs="Arial"/>
        </w:rPr>
        <w:t>, cardiovascular disease, and heart disease</w:t>
      </w:r>
      <w:r w:rsidR="00044624">
        <w:rPr>
          <w:rFonts w:ascii="Arial" w:hAnsi="Arial" w:cs="Arial"/>
        </w:rPr>
        <w:t xml:space="preserve">. </w:t>
      </w:r>
      <w:r w:rsidR="00CC15AF">
        <w:rPr>
          <w:rFonts w:ascii="Arial" w:hAnsi="Arial" w:cs="Arial"/>
        </w:rPr>
        <w:t>A</w:t>
      </w:r>
      <w:r w:rsidRPr="006A1432">
        <w:rPr>
          <w:rFonts w:ascii="Arial" w:hAnsi="Arial" w:cs="Arial"/>
        </w:rPr>
        <w:t>ccidents,</w:t>
      </w:r>
      <w:r w:rsidR="002530F0" w:rsidRPr="006A1432">
        <w:rPr>
          <w:rFonts w:ascii="Arial" w:hAnsi="Arial" w:cs="Arial"/>
        </w:rPr>
        <w:t xml:space="preserve"> </w:t>
      </w:r>
      <w:r w:rsidR="00044624">
        <w:rPr>
          <w:rFonts w:ascii="Arial" w:hAnsi="Arial" w:cs="Arial"/>
        </w:rPr>
        <w:t>c</w:t>
      </w:r>
      <w:r w:rsidR="00044624" w:rsidRPr="006A1432">
        <w:rPr>
          <w:rFonts w:ascii="Arial" w:hAnsi="Arial" w:cs="Arial"/>
        </w:rPr>
        <w:t>ancer,</w:t>
      </w:r>
      <w:r w:rsidR="00DF4670">
        <w:rPr>
          <w:rFonts w:ascii="Arial" w:hAnsi="Arial" w:cs="Arial"/>
        </w:rPr>
        <w:t xml:space="preserve"> </w:t>
      </w:r>
      <w:r w:rsidR="005F0369" w:rsidRPr="006A1432">
        <w:rPr>
          <w:rFonts w:ascii="Arial" w:hAnsi="Arial" w:cs="Arial"/>
        </w:rPr>
        <w:t>and respiratory conditions</w:t>
      </w:r>
      <w:r w:rsidRPr="006A1432">
        <w:rPr>
          <w:rFonts w:ascii="Arial" w:hAnsi="Arial" w:cs="Arial"/>
        </w:rPr>
        <w:t xml:space="preserve"> </w:t>
      </w:r>
      <w:r w:rsidR="00CC15AF">
        <w:rPr>
          <w:rFonts w:ascii="Arial" w:hAnsi="Arial" w:cs="Arial"/>
        </w:rPr>
        <w:t xml:space="preserve">are higher than Calderdale, </w:t>
      </w:r>
      <w:r w:rsidRPr="006A1432">
        <w:rPr>
          <w:rFonts w:ascii="Arial" w:hAnsi="Arial" w:cs="Arial"/>
        </w:rPr>
        <w:t xml:space="preserve">but this was not statistically significant. </w:t>
      </w:r>
    </w:p>
    <w:p w14:paraId="3FFCA967" w14:textId="52F31341" w:rsidR="005F0369" w:rsidRDefault="005F0369" w:rsidP="0041356A">
      <w:pPr>
        <w:rPr>
          <w:rFonts w:ascii="Arial" w:hAnsi="Arial" w:cs="Arial"/>
        </w:rPr>
      </w:pPr>
      <w:r w:rsidRPr="006A1432">
        <w:rPr>
          <w:rFonts w:ascii="Arial" w:hAnsi="Arial" w:cs="Arial"/>
        </w:rPr>
        <w:t xml:space="preserve">Deaths from </w:t>
      </w:r>
      <w:r w:rsidR="00CC15AF">
        <w:rPr>
          <w:rFonts w:ascii="Arial" w:hAnsi="Arial" w:cs="Arial"/>
        </w:rPr>
        <w:t>respiratory</w:t>
      </w:r>
      <w:r w:rsidR="00056AB2">
        <w:rPr>
          <w:rFonts w:ascii="Arial" w:hAnsi="Arial" w:cs="Arial"/>
        </w:rPr>
        <w:t>, cardiovascular and heart</w:t>
      </w:r>
      <w:r w:rsidR="00CC15AF">
        <w:rPr>
          <w:rFonts w:ascii="Arial" w:hAnsi="Arial" w:cs="Arial"/>
        </w:rPr>
        <w:t xml:space="preserve"> disease for</w:t>
      </w:r>
      <w:r w:rsidR="00157890" w:rsidRPr="006A1432">
        <w:rPr>
          <w:rFonts w:ascii="Arial" w:hAnsi="Arial" w:cs="Arial"/>
        </w:rPr>
        <w:t xml:space="preserve"> those aged less than </w:t>
      </w:r>
      <w:r w:rsidR="00DF4670">
        <w:rPr>
          <w:rFonts w:ascii="Arial" w:hAnsi="Arial" w:cs="Arial"/>
        </w:rPr>
        <w:t>6</w:t>
      </w:r>
      <w:r w:rsidR="00157890" w:rsidRPr="006A1432">
        <w:rPr>
          <w:rFonts w:ascii="Arial" w:hAnsi="Arial" w:cs="Arial"/>
        </w:rPr>
        <w:t xml:space="preserve">5 </w:t>
      </w:r>
      <w:r w:rsidRPr="006A1432">
        <w:rPr>
          <w:rFonts w:ascii="Arial" w:hAnsi="Arial" w:cs="Arial"/>
        </w:rPr>
        <w:t>were significantly higher th</w:t>
      </w:r>
      <w:r w:rsidR="00157890" w:rsidRPr="006A1432">
        <w:rPr>
          <w:rFonts w:ascii="Arial" w:hAnsi="Arial" w:cs="Arial"/>
        </w:rPr>
        <w:t xml:space="preserve">an </w:t>
      </w:r>
      <w:r w:rsidR="00CC15AF">
        <w:rPr>
          <w:rFonts w:ascii="Arial" w:hAnsi="Arial" w:cs="Arial"/>
        </w:rPr>
        <w:t>Calderdale.</w:t>
      </w:r>
    </w:p>
    <w:p w14:paraId="012B7FB0" w14:textId="77777777" w:rsidR="00CB2ACB" w:rsidRPr="006A1432" w:rsidRDefault="00CB2ACB" w:rsidP="0041356A">
      <w:pPr>
        <w:rPr>
          <w:rFonts w:ascii="Arial" w:hAnsi="Arial" w:cs="Arial"/>
          <w:b/>
          <w:color w:val="4F81BD"/>
        </w:rPr>
      </w:pPr>
      <w:r w:rsidRPr="006255DA">
        <w:rPr>
          <w:rFonts w:ascii="Arial" w:hAnsi="Arial" w:cs="Arial"/>
          <w:b/>
          <w:color w:val="2E74B5" w:themeColor="accent5" w:themeShade="BF"/>
        </w:rPr>
        <w:t>Ageing well</w:t>
      </w:r>
    </w:p>
    <w:p w14:paraId="7CCE2B8C" w14:textId="2E5D5486" w:rsidR="00157890" w:rsidRPr="006A1432" w:rsidRDefault="00121C3F" w:rsidP="004135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Pension credit is extra money given to those who are over state pension age and on a low income, to help with living costs.  </w:t>
      </w:r>
      <w:r w:rsidR="00157890" w:rsidRPr="006A1432">
        <w:rPr>
          <w:rFonts w:ascii="Arial" w:hAnsi="Arial" w:cs="Arial"/>
        </w:rPr>
        <w:t xml:space="preserve">Older people living in Central appear to be relatively more deprived than the Calderdale average.  </w:t>
      </w:r>
      <w:r w:rsidR="008D3860">
        <w:rPr>
          <w:rFonts w:ascii="Arial" w:hAnsi="Arial" w:cs="Arial"/>
        </w:rPr>
        <w:t>A s</w:t>
      </w:r>
      <w:r w:rsidR="00157890" w:rsidRPr="006A1432">
        <w:rPr>
          <w:rFonts w:ascii="Arial" w:hAnsi="Arial" w:cs="Arial"/>
        </w:rPr>
        <w:t xml:space="preserve">ignificantly </w:t>
      </w:r>
      <w:r w:rsidR="008D3860">
        <w:rPr>
          <w:rFonts w:ascii="Arial" w:hAnsi="Arial" w:cs="Arial"/>
        </w:rPr>
        <w:t>higher percentage</w:t>
      </w:r>
      <w:r w:rsidR="00157890" w:rsidRPr="006A1432">
        <w:rPr>
          <w:rFonts w:ascii="Arial" w:hAnsi="Arial" w:cs="Arial"/>
        </w:rPr>
        <w:t xml:space="preserve"> aged 6</w:t>
      </w:r>
      <w:r w:rsidR="00056AB2">
        <w:rPr>
          <w:rFonts w:ascii="Arial" w:hAnsi="Arial" w:cs="Arial"/>
        </w:rPr>
        <w:t>5</w:t>
      </w:r>
      <w:r w:rsidR="00157890" w:rsidRPr="006A1432">
        <w:rPr>
          <w:rFonts w:ascii="Arial" w:hAnsi="Arial" w:cs="Arial"/>
        </w:rPr>
        <w:t>+ claim pension credit</w:t>
      </w:r>
      <w:r w:rsidR="00865D45">
        <w:rPr>
          <w:rFonts w:ascii="Arial" w:hAnsi="Arial" w:cs="Arial"/>
        </w:rPr>
        <w:t>, with 13.3% in Central compared to 11% for Calderdale.</w:t>
      </w:r>
    </w:p>
    <w:p w14:paraId="0C6984F0" w14:textId="4AE025A6" w:rsidR="00CB2ACB" w:rsidRPr="006A1432" w:rsidRDefault="00121C3F" w:rsidP="0041356A">
      <w:pPr>
        <w:rPr>
          <w:rFonts w:ascii="Arial" w:hAnsi="Arial" w:cs="Arial"/>
        </w:rPr>
      </w:pPr>
      <w:r>
        <w:rPr>
          <w:rFonts w:ascii="Arial" w:hAnsi="Arial" w:cs="Arial"/>
        </w:rPr>
        <w:t>Personal independence payment (PIP) is given to those with a long-term physical or mental health condition or disability who have difficulty doing certain everyday tasks or getting around.</w:t>
      </w:r>
      <w:r w:rsidR="008D38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Attendance Allowance helps with extra costs if a person has a disability severe enough that they need someone to help look after them.  </w:t>
      </w:r>
      <w:r w:rsidR="00056AB2">
        <w:rPr>
          <w:rFonts w:ascii="Arial" w:hAnsi="Arial" w:cs="Arial"/>
        </w:rPr>
        <w:t xml:space="preserve">Central has </w:t>
      </w:r>
      <w:r w:rsidR="008D3860">
        <w:rPr>
          <w:rFonts w:ascii="Arial" w:hAnsi="Arial" w:cs="Arial"/>
        </w:rPr>
        <w:t xml:space="preserve">a </w:t>
      </w:r>
      <w:r w:rsidR="00056AB2">
        <w:rPr>
          <w:rFonts w:ascii="Arial" w:hAnsi="Arial" w:cs="Arial"/>
        </w:rPr>
        <w:t>significantly</w:t>
      </w:r>
      <w:r w:rsidR="008D3860">
        <w:rPr>
          <w:rFonts w:ascii="Arial" w:hAnsi="Arial" w:cs="Arial"/>
        </w:rPr>
        <w:t xml:space="preserve"> higher proportion compared to Calderdale </w:t>
      </w:r>
      <w:r w:rsidR="00056AB2">
        <w:rPr>
          <w:rFonts w:ascii="Arial" w:hAnsi="Arial" w:cs="Arial"/>
        </w:rPr>
        <w:t>claiming</w:t>
      </w:r>
      <w:r w:rsidR="00562987" w:rsidRPr="00562987">
        <w:rPr>
          <w:rFonts w:ascii="Arial" w:hAnsi="Arial" w:cs="Arial"/>
        </w:rPr>
        <w:t xml:space="preserve"> P</w:t>
      </w:r>
      <w:r w:rsidR="008D3860">
        <w:rPr>
          <w:rFonts w:ascii="Arial" w:hAnsi="Arial" w:cs="Arial"/>
        </w:rPr>
        <w:t>IP</w:t>
      </w:r>
      <w:r w:rsidR="00056AB2">
        <w:rPr>
          <w:rFonts w:ascii="Arial" w:hAnsi="Arial" w:cs="Arial"/>
        </w:rPr>
        <w:t xml:space="preserve"> </w:t>
      </w:r>
      <w:r w:rsidR="008D3860">
        <w:rPr>
          <w:rFonts w:ascii="Arial" w:hAnsi="Arial" w:cs="Arial"/>
        </w:rPr>
        <w:t xml:space="preserve">(around </w:t>
      </w:r>
      <w:r>
        <w:rPr>
          <w:rFonts w:ascii="Arial" w:hAnsi="Arial" w:cs="Arial"/>
        </w:rPr>
        <w:t>1 in 10</w:t>
      </w:r>
      <w:r w:rsidR="008D3860">
        <w:rPr>
          <w:rFonts w:ascii="Arial" w:hAnsi="Arial" w:cs="Arial"/>
        </w:rPr>
        <w:t>)</w:t>
      </w:r>
      <w:r w:rsidR="00865D45">
        <w:rPr>
          <w:rFonts w:ascii="Arial" w:hAnsi="Arial" w:cs="Arial"/>
        </w:rPr>
        <w:t xml:space="preserve"> </w:t>
      </w:r>
      <w:r w:rsidR="00562987" w:rsidRPr="00562987">
        <w:rPr>
          <w:rFonts w:ascii="Arial" w:hAnsi="Arial" w:cs="Arial"/>
        </w:rPr>
        <w:t>or Attendance Allowance</w:t>
      </w:r>
      <w:r w:rsidR="00056AB2">
        <w:rPr>
          <w:rFonts w:ascii="Arial" w:hAnsi="Arial" w:cs="Arial"/>
        </w:rPr>
        <w:t xml:space="preserve"> at 65+</w:t>
      </w:r>
      <w:r w:rsidR="00865D45">
        <w:rPr>
          <w:rFonts w:ascii="Arial" w:hAnsi="Arial" w:cs="Arial"/>
        </w:rPr>
        <w:t xml:space="preserve"> </w:t>
      </w:r>
      <w:r w:rsidR="008D3860">
        <w:rPr>
          <w:rFonts w:ascii="Arial" w:hAnsi="Arial" w:cs="Arial"/>
        </w:rPr>
        <w:t>(</w:t>
      </w:r>
      <w:r>
        <w:rPr>
          <w:rFonts w:ascii="Arial" w:hAnsi="Arial" w:cs="Arial"/>
        </w:rPr>
        <w:t>around 1 in 8</w:t>
      </w:r>
      <w:r w:rsidR="008D3860">
        <w:rPr>
          <w:rFonts w:ascii="Arial" w:hAnsi="Arial" w:cs="Arial"/>
        </w:rPr>
        <w:t>).</w:t>
      </w:r>
    </w:p>
    <w:p w14:paraId="471D9991" w14:textId="52A241D2" w:rsidR="00B96DCE" w:rsidRPr="006A1432" w:rsidRDefault="00B96DCE" w:rsidP="0041356A">
      <w:pPr>
        <w:rPr>
          <w:rFonts w:ascii="Arial" w:hAnsi="Arial" w:cs="Arial"/>
        </w:rPr>
      </w:pPr>
      <w:r w:rsidRPr="006A1432">
        <w:rPr>
          <w:rFonts w:ascii="Arial" w:hAnsi="Arial" w:cs="Arial"/>
        </w:rPr>
        <w:t>The death rate</w:t>
      </w:r>
      <w:r w:rsidR="00056AB2">
        <w:rPr>
          <w:rFonts w:ascii="Arial" w:hAnsi="Arial" w:cs="Arial"/>
        </w:rPr>
        <w:t xml:space="preserve"> for all causes</w:t>
      </w:r>
      <w:r w:rsidR="002C20FA">
        <w:rPr>
          <w:rFonts w:ascii="Arial" w:hAnsi="Arial" w:cs="Arial"/>
        </w:rPr>
        <w:t xml:space="preserve"> and dementia</w:t>
      </w:r>
      <w:r w:rsidRPr="006A1432">
        <w:rPr>
          <w:rFonts w:ascii="Arial" w:hAnsi="Arial" w:cs="Arial"/>
        </w:rPr>
        <w:t xml:space="preserve"> in those aged 65+ is </w:t>
      </w:r>
      <w:r w:rsidR="002C20FA">
        <w:rPr>
          <w:rFonts w:ascii="Arial" w:hAnsi="Arial" w:cs="Arial"/>
        </w:rPr>
        <w:t xml:space="preserve">significantly </w:t>
      </w:r>
      <w:r w:rsidRPr="006A1432">
        <w:rPr>
          <w:rFonts w:ascii="Arial" w:hAnsi="Arial" w:cs="Arial"/>
        </w:rPr>
        <w:t>higher than the Calderdale average.</w:t>
      </w:r>
    </w:p>
    <w:p w14:paraId="2919A448" w14:textId="44EC0D26" w:rsidR="00E66142" w:rsidRDefault="00CB2ACB" w:rsidP="0020599A">
      <w:pPr>
        <w:spacing w:after="0"/>
        <w:jc w:val="right"/>
        <w:rPr>
          <w:rFonts w:ascii="Arial" w:hAnsi="Arial" w:cs="Arial"/>
        </w:rPr>
      </w:pPr>
      <w:r w:rsidRPr="006A1432">
        <w:rPr>
          <w:rFonts w:ascii="Arial" w:hAnsi="Arial" w:cs="Arial"/>
        </w:rPr>
        <w:t>Public Health</w:t>
      </w:r>
      <w:r w:rsidR="0020599A">
        <w:rPr>
          <w:rFonts w:ascii="Arial" w:hAnsi="Arial" w:cs="Arial"/>
        </w:rPr>
        <w:t xml:space="preserve">, </w:t>
      </w:r>
      <w:r w:rsidRPr="006A1432">
        <w:rPr>
          <w:rFonts w:ascii="Arial" w:hAnsi="Arial" w:cs="Arial"/>
        </w:rPr>
        <w:t>CMBC</w:t>
      </w:r>
      <w:r w:rsidR="00865D45">
        <w:rPr>
          <w:rFonts w:ascii="Arial" w:hAnsi="Arial" w:cs="Arial"/>
        </w:rPr>
        <w:t xml:space="preserve"> </w:t>
      </w:r>
      <w:r w:rsidR="00E6322A">
        <w:rPr>
          <w:rFonts w:ascii="Arial" w:hAnsi="Arial" w:cs="Arial"/>
        </w:rPr>
        <w:t>September</w:t>
      </w:r>
      <w:r w:rsidR="00056AB2">
        <w:rPr>
          <w:rFonts w:ascii="Arial" w:hAnsi="Arial" w:cs="Arial"/>
        </w:rPr>
        <w:t xml:space="preserve"> 2023</w:t>
      </w:r>
    </w:p>
    <w:p w14:paraId="26AE1889" w14:textId="1887B439" w:rsidR="00C03900" w:rsidRDefault="00E66142" w:rsidP="00E66142">
      <w:pPr>
        <w:spacing w:after="0"/>
        <w:jc w:val="right"/>
        <w:rPr>
          <w:rFonts w:ascii="Arial" w:hAnsi="Arial" w:cs="Arial"/>
        </w:rPr>
        <w:sectPr w:rsidR="00C03900" w:rsidSect="0020599A">
          <w:footerReference w:type="default" r:id="rId12"/>
          <w:pgSz w:w="11906" w:h="16838"/>
          <w:pgMar w:top="1134" w:right="1134" w:bottom="1134" w:left="1134" w:header="709" w:footer="567" w:gutter="0"/>
          <w:cols w:space="708"/>
          <w:docGrid w:linePitch="360"/>
        </w:sectPr>
      </w:pPr>
      <w:r>
        <w:rPr>
          <w:rFonts w:ascii="Arial" w:hAnsi="Arial" w:cs="Arial"/>
        </w:rPr>
        <w:t>V2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32"/>
        <w:gridCol w:w="928"/>
        <w:gridCol w:w="1239"/>
        <w:gridCol w:w="1132"/>
        <w:gridCol w:w="4417"/>
      </w:tblGrid>
      <w:tr w:rsidR="0089695F" w:rsidRPr="0089695F" w14:paraId="4964A942" w14:textId="77777777" w:rsidTr="0020599A">
        <w:trPr>
          <w:cantSplit/>
          <w:trHeight w:val="1588"/>
          <w:tblHeader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F062" w14:textId="770688DB" w:rsidR="0020599A" w:rsidRDefault="0020599A" w:rsidP="00896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505E15" wp14:editId="0AFB69A2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-635</wp:posOffset>
                      </wp:positionV>
                      <wp:extent cx="2419350" cy="762000"/>
                      <wp:effectExtent l="0" t="0" r="19050" b="19050"/>
                      <wp:wrapNone/>
                      <wp:docPr id="6" name="Text Box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1C9FFC3-427D-4DCC-ADEB-A9219A1D2D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9350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FFC39D" w14:textId="77777777" w:rsidR="0020599A" w:rsidRDefault="0020599A" w:rsidP="0020599A">
                                  <w:pPr>
                                    <w:spacing w:after="60" w:line="240" w:lineRule="auto"/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Red          </w:t>
                                  </w:r>
                                  <w:r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is significantly worse than Calderdale</w:t>
                                  </w:r>
                                </w:p>
                                <w:p w14:paraId="39003C72" w14:textId="77777777" w:rsidR="0020599A" w:rsidRDefault="0020599A" w:rsidP="0020599A">
                                  <w:pPr>
                                    <w:spacing w:after="60" w:line="240" w:lineRule="auto"/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92D05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92D050"/>
                                      <w:sz w:val="16"/>
                                      <w:szCs w:val="16"/>
                                    </w:rPr>
                                    <w:t xml:space="preserve">Green      </w:t>
                                  </w:r>
                                  <w:r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is significantly better than Calderdale</w:t>
                                  </w:r>
                                </w:p>
                                <w:p w14:paraId="591BB628" w14:textId="77777777" w:rsidR="0020599A" w:rsidRDefault="0020599A" w:rsidP="0020599A">
                                  <w:pPr>
                                    <w:spacing w:after="60" w:line="240" w:lineRule="auto"/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B4C6E7" w:themeColor="accent1" w:themeTint="6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B4C6E7" w:themeColor="accent1" w:themeTint="66"/>
                                      <w:sz w:val="16"/>
                                      <w:szCs w:val="16"/>
                                    </w:rPr>
                                    <w:t xml:space="preserve">Blue         </w:t>
                                  </w:r>
                                  <w:r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is significantly different to Calderdale</w:t>
                                  </w:r>
                                </w:p>
                                <w:p w14:paraId="17280715" w14:textId="77777777" w:rsidR="0020599A" w:rsidRDefault="0020599A" w:rsidP="0020599A">
                                  <w:pPr>
                                    <w:spacing w:after="60" w:line="240" w:lineRule="auto"/>
                                    <w:textAlignment w:val="baseline"/>
                                    <w:rPr>
                                      <w:rFonts w:asciiTheme="minorHAnsi" w:cstheme="minorBid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cstheme="minorBid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Calderdale rated compared to England average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505E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8" type="#_x0000_t202" style="position:absolute;margin-left:76.25pt;margin-top:-.05pt;width:190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" fillcolor="white [3201]" strokecolor="#7f7f7f [1601]">
                      <v:textbox>
                        <w:txbxContent>
                          <w:p w14:paraId="52FFC39D" w14:textId="77777777" w:rsidR="0020599A" w:rsidRDefault="0020599A" w:rsidP="0020599A">
                            <w:pPr>
                              <w:spacing w:after="60" w:line="240" w:lineRule="auto"/>
                              <w:rPr>
                                <w:rFonts w:asciiTheme="minorHAnsi" w:cstheme="min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Red          </w:t>
                            </w: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is significantly worse than Calderdale</w:t>
                            </w:r>
                          </w:p>
                          <w:p w14:paraId="39003C72" w14:textId="77777777" w:rsidR="0020599A" w:rsidRDefault="0020599A" w:rsidP="0020599A">
                            <w:pPr>
                              <w:spacing w:after="60" w:line="240" w:lineRule="auto"/>
                              <w:rPr>
                                <w:rFonts w:asciiTheme="minorHAnsi" w:cstheme="minorBidi"/>
                                <w:b/>
                                <w:bCs/>
                                <w:color w:val="92D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92D050"/>
                                <w:sz w:val="16"/>
                                <w:szCs w:val="16"/>
                              </w:rPr>
                              <w:t xml:space="preserve">Green      </w:t>
                            </w: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is significantly better than Calderdale</w:t>
                            </w:r>
                          </w:p>
                          <w:p w14:paraId="591BB628" w14:textId="77777777" w:rsidR="0020599A" w:rsidRDefault="0020599A" w:rsidP="0020599A">
                            <w:pPr>
                              <w:spacing w:after="60" w:line="240" w:lineRule="auto"/>
                              <w:rPr>
                                <w:rFonts w:asciiTheme="minorHAnsi" w:cstheme="minorBidi"/>
                                <w:b/>
                                <w:bCs/>
                                <w:color w:val="B4C6E7" w:themeColor="accent1" w:themeTint="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B4C6E7" w:themeColor="accent1" w:themeTint="66"/>
                                <w:sz w:val="16"/>
                                <w:szCs w:val="16"/>
                              </w:rPr>
                              <w:t xml:space="preserve">Blue         </w:t>
                            </w: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is significantly different to Calderdale</w:t>
                            </w:r>
                          </w:p>
                          <w:p w14:paraId="17280715" w14:textId="77777777" w:rsidR="0020599A" w:rsidRDefault="0020599A" w:rsidP="0020599A">
                            <w:pPr>
                              <w:spacing w:after="60" w:line="240" w:lineRule="auto"/>
                              <w:textAlignment w:val="baseline"/>
                              <w:rPr>
                                <w:rFonts w:asciiTheme="minorHAnsi" w:cstheme="minorBid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sz w:val="16"/>
                                <w:szCs w:val="16"/>
                              </w:rPr>
                              <w:t>Calderdale rated compared to England average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504986" w14:textId="290F5AA2" w:rsidR="0020599A" w:rsidRDefault="0020599A" w:rsidP="00896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08FB3EBB" w14:textId="6273295C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INDICATOR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525F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Central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BDC0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Calderdale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6211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England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EE8E" w14:textId="3941214C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Source</w:t>
            </w:r>
          </w:p>
        </w:tc>
      </w:tr>
      <w:tr w:rsidR="0089695F" w:rsidRPr="0089695F" w14:paraId="069A06A8" w14:textId="77777777" w:rsidTr="0020599A">
        <w:trPr>
          <w:trHeight w:val="2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35BE237E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Population Characteristics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5A645C6F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573AE8FD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0A090383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6D864A7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9695F" w:rsidRPr="0089695F" w14:paraId="3D7D4A49" w14:textId="77777777" w:rsidTr="0020599A">
        <w:trPr>
          <w:trHeight w:val="260"/>
        </w:trPr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DFE000B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Population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74549BDB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6CEC160B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38169D02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69216B0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9695F" w:rsidRPr="0089695F" w14:paraId="280DFAB9" w14:textId="77777777" w:rsidTr="0020599A">
        <w:trPr>
          <w:trHeight w:val="25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9F06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 registered population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6E1C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54124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2C92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213519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8FB562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2A00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GP Practice Populations 2022</w:t>
            </w:r>
          </w:p>
        </w:tc>
      </w:tr>
      <w:tr w:rsidR="0089695F" w:rsidRPr="0089695F" w14:paraId="54B48BD7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51F1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Registered population 0-4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5002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452C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10604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B8B122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1A7A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GP Practice Populations 2022</w:t>
            </w:r>
          </w:p>
        </w:tc>
      </w:tr>
      <w:tr w:rsidR="0089695F" w:rsidRPr="0089695F" w14:paraId="71247F1A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A8EC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Registered population 5-14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3C34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61E5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26441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406137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3859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GP Practice Populations 2022</w:t>
            </w:r>
          </w:p>
        </w:tc>
      </w:tr>
      <w:tr w:rsidR="0089695F" w:rsidRPr="0089695F" w14:paraId="7C5A82EA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0CCF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Registered population 0-19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22E8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14062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29F2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49414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1718EF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5195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GP Practice Populations 2022</w:t>
            </w:r>
          </w:p>
        </w:tc>
      </w:tr>
      <w:tr w:rsidR="0089695F" w:rsidRPr="0089695F" w14:paraId="43099041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3748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Registered population aged 65 and over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8AC5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513A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40039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3EF79C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F7D6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GP Practice Populations 2022</w:t>
            </w:r>
          </w:p>
        </w:tc>
      </w:tr>
      <w:tr w:rsidR="0089695F" w:rsidRPr="0089695F" w14:paraId="6CEB828C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DA57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Registered population aged 75 and over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1571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4048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8817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18128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208D89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7691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GP Practice Populations 2022</w:t>
            </w:r>
          </w:p>
        </w:tc>
      </w:tr>
      <w:tr w:rsidR="0089695F" w:rsidRPr="0089695F" w14:paraId="2DC91831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27F4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Registered population aged 85 and over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6F1D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A392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93F16E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D72F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GP Practice Populations 2022</w:t>
            </w:r>
          </w:p>
        </w:tc>
      </w:tr>
      <w:tr w:rsidR="0089695F" w:rsidRPr="0089695F" w14:paraId="6F9D9B0C" w14:textId="77777777" w:rsidTr="0020599A">
        <w:trPr>
          <w:trHeight w:val="2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16B1DBDB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Ethnicity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404C220C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43C2F6C2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2981467F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F7A3DB1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9695F" w:rsidRPr="0089695F" w14:paraId="7056E90B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FCD8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the population who are Irish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AA15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2C9A2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3C2B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222C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89695F" w:rsidRPr="0089695F" w14:paraId="34241C17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3CE3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the population who are Gypsy/Irish Travellers/Roma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F27ADE6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73DCD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B4DF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88DC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89695F" w:rsidRPr="0089695F" w14:paraId="3480DF20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72B9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the population who are White Other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77C1147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FA41D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C5C6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6.4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2396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89695F" w:rsidRPr="0089695F" w14:paraId="1AF8586B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99DA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the population who are Asian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BA7281F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B04A0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6663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9.6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ABE6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89695F" w:rsidRPr="0089695F" w14:paraId="2FF0E0AF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CDBF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the population who are Black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A360029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114B0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7E14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8C72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89695F" w:rsidRPr="0089695F" w14:paraId="656F5DC4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694C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the population who are Mixed Race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6CA3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095DD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014C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9B6D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89695F" w:rsidRPr="0089695F" w14:paraId="00BE5537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18BE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the population who are "other"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05B2A7D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99B75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AB21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C7C3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89695F" w:rsidRPr="0089695F" w14:paraId="240843D9" w14:textId="77777777" w:rsidTr="0020599A">
        <w:trPr>
          <w:trHeight w:val="5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DC80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primary school children attending Calderdale schools who are Asian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432D2DA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CCFA496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17.8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F734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12.8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6CEA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 2023 School Census</w:t>
            </w:r>
          </w:p>
        </w:tc>
      </w:tr>
      <w:tr w:rsidR="0089695F" w:rsidRPr="0089695F" w14:paraId="7B4A9F49" w14:textId="77777777" w:rsidTr="0020599A">
        <w:trPr>
          <w:trHeight w:val="5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9274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secondary school children attending Calderdale schools who are Asian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24255F1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5E7C450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17.7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E8A8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12.9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6CB2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 2023 School Census</w:t>
            </w:r>
          </w:p>
        </w:tc>
      </w:tr>
      <w:tr w:rsidR="0089695F" w:rsidRPr="0089695F" w14:paraId="5BD6B69E" w14:textId="77777777" w:rsidTr="0020599A">
        <w:trPr>
          <w:trHeight w:val="2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78CD9D51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Religion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0319188D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74CF90E4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59F67975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F9E6D5F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9695F" w:rsidRPr="0089695F" w14:paraId="06E21705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B4D2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the population who are Christian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FADCBEE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32.1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5C06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41.5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47F9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46.3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BD41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89695F" w:rsidRPr="0089695F" w14:paraId="2700E80D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DB55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the population who are Buddhist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0E6A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DDBD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5E6C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2901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89695F" w:rsidRPr="0089695F" w14:paraId="01AEA892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08A5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Percentage of the population who are Hindu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2FF9E8D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3D53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522C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5B97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89695F" w:rsidRPr="0089695F" w14:paraId="11228884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8E0E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the population who are Jewish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7E97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269E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6B58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D0AF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89695F" w:rsidRPr="0089695F" w14:paraId="478C468D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F99B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the population who are Muslim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6039E5A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C407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1882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6.7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1681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89695F" w:rsidRPr="0089695F" w14:paraId="0A328548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7A71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the population who are Sikh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3E7A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D138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37C6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6619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89695F" w:rsidRPr="0089695F" w14:paraId="29E559B4" w14:textId="77777777" w:rsidTr="0020599A">
        <w:trPr>
          <w:trHeight w:val="2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F2FD779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Language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96A1F43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773E332A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283DCCC4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E55471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9695F" w:rsidRPr="0089695F" w14:paraId="59478EF6" w14:textId="77777777" w:rsidTr="0020599A">
        <w:trPr>
          <w:trHeight w:val="5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2262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main language is not English and cannot speak English well or at all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FC6FB30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6EBB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AD02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24F5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89695F" w:rsidRPr="0089695F" w14:paraId="7A4E743C" w14:textId="77777777" w:rsidTr="0020599A">
        <w:trPr>
          <w:trHeight w:val="2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294469E8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Sexual Orientation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409FAA65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4858B89C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0EAF234C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FE9E04A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9695F" w:rsidRPr="0089695F" w14:paraId="4E9F1DF3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1DA8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16+ residents who identify as LGBTQ+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4547340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2117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23BA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9581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89695F" w:rsidRPr="0089695F" w14:paraId="64D5AA43" w14:textId="77777777" w:rsidTr="0020599A">
        <w:trPr>
          <w:trHeight w:val="260"/>
        </w:trPr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94CD3EF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Wider determinants of health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36B5DCE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8FA637A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8C72FA3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C7B64C5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9695F" w:rsidRPr="0089695F" w14:paraId="16EC8A81" w14:textId="77777777" w:rsidTr="0020599A">
        <w:trPr>
          <w:trHeight w:val="75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BE3A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households claiming council tax reduction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C1BBADF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19.8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C3F7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56DB76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F3BD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Calderdale Council Tax system c/o Calderdale Council Qlikview, accessed April 2023</w:t>
            </w:r>
          </w:p>
        </w:tc>
      </w:tr>
      <w:tr w:rsidR="0089695F" w:rsidRPr="0089695F" w14:paraId="32F144FA" w14:textId="77777777" w:rsidTr="0020599A">
        <w:trPr>
          <w:trHeight w:val="10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3F9F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households claiming housing benefit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788C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7F22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00E3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8.8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CD86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DWP - Housing Benefit claimants February 2023; stat-xplore.dwp.gov.uk, accessed 30 May 2023; Census 2021 Number of households by LSOA</w:t>
            </w:r>
          </w:p>
        </w:tc>
      </w:tr>
      <w:tr w:rsidR="0089695F" w:rsidRPr="0089695F" w14:paraId="693D2D07" w14:textId="77777777" w:rsidTr="0020599A">
        <w:trPr>
          <w:trHeight w:val="10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069B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households claiming universal credit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F3A55B4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BF6BBBA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20.9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802D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FB45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DWP - Households claiming universal credit February 2023; stat-xplore.dwp.gov.uk, accessed 31 May 2023; Census 2021 Number of households by LSOA</w:t>
            </w:r>
          </w:p>
        </w:tc>
      </w:tr>
      <w:tr w:rsidR="0089695F" w:rsidRPr="0089695F" w14:paraId="16D4DD6F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50C3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primary school children eligible for free school meals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4645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A19B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26.8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774C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24.0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7D18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 2023 School Census</w:t>
            </w:r>
          </w:p>
        </w:tc>
      </w:tr>
      <w:tr w:rsidR="0089695F" w:rsidRPr="0089695F" w14:paraId="69EB0D7A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AB62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secondary school children eligible for free school meals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89EDA6B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12E129E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26.1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DF69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22.7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98D5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 2023 School Census</w:t>
            </w:r>
          </w:p>
        </w:tc>
      </w:tr>
      <w:tr w:rsidR="0089695F" w:rsidRPr="0089695F" w14:paraId="69112E87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E2F3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Percentage of households that are owned outright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ABF781D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33.1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E6FE9D9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34.6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E04E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32.5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EC34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89695F" w:rsidRPr="0089695F" w14:paraId="31F58306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CE41" w14:textId="523003E1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households that are owner occupied - Mortgage/Loan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F1F6BF4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37D4F66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30.4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DB24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29.8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BAD0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89695F" w:rsidRPr="0089695F" w14:paraId="0E495772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3F45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households rented from a social landlord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E77F57C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B117176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866B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17.1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ACD0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89695F" w:rsidRPr="0089695F" w14:paraId="5B4304CF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6684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households rented privately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6E58EFA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C910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20.4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4626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20.5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09C1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89695F" w:rsidRPr="0089695F" w14:paraId="4263CD69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4EEB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households without central heating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C5F6C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61BD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6FA5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DA91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89695F" w:rsidRPr="0089695F" w14:paraId="46E5B959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FBBB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households with no car or van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184EC74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29.0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0ED6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24.5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E269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23.5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B89B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89695F" w:rsidRPr="0089695F" w14:paraId="6A3B5F6F" w14:textId="77777777" w:rsidTr="0020599A">
        <w:trPr>
          <w:trHeight w:val="2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76045728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Starting Well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1F9092D8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085E1EF2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1DD5DF6A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0E8B382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9695F" w:rsidRPr="0089695F" w14:paraId="0858994B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2408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Fertility rate per 1000 women aged 15-</w:t>
            </w:r>
            <w:proofErr w:type="gramStart"/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  [</w:t>
            </w:r>
            <w:proofErr w:type="gramEnd"/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2017-2021]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978004C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67.0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6910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60.1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4230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59.2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E7D4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89695F" w:rsidRPr="0089695F" w14:paraId="625A515B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8DAA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Live birth rate per 1000 women aged 15-44 [2017-2021]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F308E2C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F88A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59.9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AD95B6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16D9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89695F" w:rsidRPr="0089695F" w14:paraId="4E107DB8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F7AF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Still birth rate per 1000 births [2017-2021]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D66E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1C57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042266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995E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89695F" w:rsidRPr="0089695F" w14:paraId="481785B6" w14:textId="77777777" w:rsidTr="0020599A">
        <w:trPr>
          <w:trHeight w:val="5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DC20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Percentage of </w:t>
            </w:r>
            <w:proofErr w:type="gramStart"/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low birth weight</w:t>
            </w:r>
            <w:proofErr w:type="gramEnd"/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babies [2017-2021]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410A120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18DF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1175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6.8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8573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CMBC, figure differ from national as includes all gestations</w:t>
            </w:r>
          </w:p>
        </w:tc>
      </w:tr>
      <w:tr w:rsidR="0089695F" w:rsidRPr="0089695F" w14:paraId="09027397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778D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Infant mortality rate per 1000 live births [2017-2021]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2D4C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84A849E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6A3B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2231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89695F" w:rsidRPr="0089695F" w14:paraId="05B6F9AF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2DC4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smoking at delivery (2022/23)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D7DBC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84B8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8693E24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C6DD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Maternity system, calculated by CMBC</w:t>
            </w:r>
          </w:p>
        </w:tc>
      </w:tr>
      <w:tr w:rsidR="0089695F" w:rsidRPr="0089695F" w14:paraId="607169C2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698B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breastfeeding at delivery (2022/23)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ED177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FB67F25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60.3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A221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71.7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B736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Maternity system, calculated by CMBC</w:t>
            </w:r>
          </w:p>
        </w:tc>
      </w:tr>
      <w:tr w:rsidR="0089695F" w:rsidRPr="0089695F" w14:paraId="76766434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1AD4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breastfeeding at discharge (2022/23)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31AB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7AA9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59.4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1583E1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2A74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Maternity system, calculated by CMBC</w:t>
            </w:r>
          </w:p>
        </w:tc>
      </w:tr>
      <w:tr w:rsidR="0089695F" w:rsidRPr="0089695F" w14:paraId="2487BF5D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0458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breastfeeding at 6-8 weeks (2022/23)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7BB7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C37E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51.6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9277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49.2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A2F8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Maternity system, calculated by CMBC</w:t>
            </w:r>
          </w:p>
        </w:tc>
      </w:tr>
      <w:tr w:rsidR="0089695F" w:rsidRPr="0089695F" w14:paraId="3982A591" w14:textId="77777777" w:rsidTr="0020599A">
        <w:trPr>
          <w:trHeight w:val="567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2044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households with dependent children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3737D22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32.0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094768B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28.3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6945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28.4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4D71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89695F" w:rsidRPr="0089695F" w14:paraId="35F17D21" w14:textId="77777777" w:rsidTr="0020599A">
        <w:trPr>
          <w:trHeight w:val="2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64168A62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Developing well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FC7C238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3D72B868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7519545B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C61A72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9695F" w:rsidRPr="0089695F" w14:paraId="3C5970EC" w14:textId="77777777" w:rsidTr="0020599A">
        <w:trPr>
          <w:trHeight w:val="5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1C2E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those aged under 18 claiming disability living allowance (November 2022)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C53C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754C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D108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F373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Stat-xplore DWP, GP practice populations 2022</w:t>
            </w:r>
          </w:p>
        </w:tc>
      </w:tr>
      <w:tr w:rsidR="0089695F" w:rsidRPr="0089695F" w14:paraId="7CDADD88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E806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Excess weight reception age children [2019/22]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034D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04A61A4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7AB1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22.6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8EED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NCMP</w:t>
            </w:r>
          </w:p>
        </w:tc>
      </w:tr>
      <w:tr w:rsidR="0089695F" w:rsidRPr="0089695F" w14:paraId="07C89413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9686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Excess weight year 6 children [2019/22]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7A89713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9B8B29B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34.3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C411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35.8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9F42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NCMP</w:t>
            </w:r>
          </w:p>
        </w:tc>
      </w:tr>
      <w:tr w:rsidR="0089695F" w:rsidRPr="0089695F" w14:paraId="5F7B5459" w14:textId="77777777" w:rsidTr="0020599A">
        <w:trPr>
          <w:trHeight w:val="5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625D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Rate per </w:t>
            </w:r>
            <w:proofErr w:type="gramStart"/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1000  population</w:t>
            </w:r>
            <w:proofErr w:type="gramEnd"/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aged 0 to 17 referred to children's social care (2023)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B4BDF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8BCA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55.4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F1C628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DD73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CMBC Cass system accessed 30 May </w:t>
            </w:r>
            <w:proofErr w:type="gramStart"/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2023;</w:t>
            </w:r>
            <w:proofErr w:type="gramEnd"/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Census 2021</w:t>
            </w:r>
          </w:p>
        </w:tc>
      </w:tr>
      <w:tr w:rsidR="0089695F" w:rsidRPr="0089695F" w14:paraId="6DBAD083" w14:textId="77777777" w:rsidTr="0020599A">
        <w:trPr>
          <w:trHeight w:val="5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D6CA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Children on a child protection plan (rate per 1000) 31 March 2023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D1E9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98E8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CADE24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C719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CMBC Cass system accessed 30 May </w:t>
            </w:r>
            <w:proofErr w:type="gramStart"/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2023;</w:t>
            </w:r>
            <w:proofErr w:type="gramEnd"/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Census 2021</w:t>
            </w:r>
          </w:p>
        </w:tc>
      </w:tr>
      <w:tr w:rsidR="0089695F" w:rsidRPr="0089695F" w14:paraId="368179A8" w14:textId="77777777" w:rsidTr="0020599A">
        <w:trPr>
          <w:trHeight w:val="2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32DE27E7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Living and working well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textDirection w:val="btLr"/>
            <w:vAlign w:val="center"/>
            <w:hideMark/>
          </w:tcPr>
          <w:p w14:paraId="0FAD9B91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textDirection w:val="btLr"/>
            <w:vAlign w:val="center"/>
            <w:hideMark/>
          </w:tcPr>
          <w:p w14:paraId="1235CA91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textDirection w:val="btLr"/>
            <w:vAlign w:val="center"/>
            <w:hideMark/>
          </w:tcPr>
          <w:p w14:paraId="34A8DBB1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00E5EC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89695F" w:rsidRPr="0089695F" w14:paraId="3A47D1D1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0397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Estimated smoking prevalence QOF (15+) [2021/22]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7E5D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5878CB5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17.5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A3D7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15.4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4FC3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89695F" w:rsidRPr="0089695F" w14:paraId="6F469F76" w14:textId="77777777" w:rsidTr="0020599A">
        <w:trPr>
          <w:trHeight w:val="5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20EE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Obesity QOF Prevalence (18+) Patients with a BMI of 30 or above (2021/22)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0813AC7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8B8C8EC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DD67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9.7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7FD3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89695F" w:rsidRPr="0089695F" w14:paraId="1A7416FB" w14:textId="77777777" w:rsidTr="0020599A">
        <w:trPr>
          <w:trHeight w:val="2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03605B98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Life Expectancy and </w:t>
            </w:r>
            <w:proofErr w:type="spellStart"/>
            <w:r w:rsidRPr="008969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All Cause</w:t>
            </w:r>
            <w:proofErr w:type="spellEnd"/>
            <w:r w:rsidRPr="008969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Mortality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22A69516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6BB22FAD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2DDBF304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A069AF8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9695F" w:rsidRPr="0089695F" w14:paraId="3F7AE11B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4A76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Life expectancy at birth in males [2019-2021]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824F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906EAD7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78.2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0149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79.4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3CC9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89695F" w:rsidRPr="0089695F" w14:paraId="769DFBF5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ACD6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Life expectancy at birth in females [2019-2021]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7A63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A151056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82.4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B46B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83.1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4C68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89695F" w:rsidRPr="0089695F" w14:paraId="730131BA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DF77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Directly Standardised Death Rate all causes (all ages) [2017 -2021]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5A49CA3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1130.4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1332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1017.9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5F5A47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2C08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89695F" w:rsidRPr="0089695F" w14:paraId="1209E484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B278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Directly Standardised Death Rate all causes (aged &lt;65) [2019 -2021]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7146FD9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229.9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B1E5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191.6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9C84C4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46AB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89695F" w:rsidRPr="0089695F" w14:paraId="68560829" w14:textId="77777777" w:rsidTr="0020599A">
        <w:trPr>
          <w:trHeight w:val="2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20905FFE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Long term conditions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textDirection w:val="btLr"/>
            <w:vAlign w:val="center"/>
            <w:hideMark/>
          </w:tcPr>
          <w:p w14:paraId="5DBF440D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textDirection w:val="btLr"/>
            <w:vAlign w:val="center"/>
            <w:hideMark/>
          </w:tcPr>
          <w:p w14:paraId="0DA28A15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textDirection w:val="btLr"/>
            <w:vAlign w:val="center"/>
            <w:hideMark/>
          </w:tcPr>
          <w:p w14:paraId="2F97F590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B4560C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89695F" w:rsidRPr="0089695F" w14:paraId="676D4E45" w14:textId="77777777" w:rsidTr="0020599A">
        <w:trPr>
          <w:trHeight w:val="5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0C33" w14:textId="1BC7C414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Percentage of population with a </w:t>
            </w:r>
            <w:proofErr w:type="gramStart"/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long term</w:t>
            </w:r>
            <w:proofErr w:type="gramEnd"/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health problem or disability which limits activities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FD4CB4F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53D1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42A8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17.3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F6AE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89695F" w:rsidRPr="0089695F" w14:paraId="1A6EFF5F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9DD5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population who stated they were in good or very good health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DC62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5393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80.8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FC2E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82.2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47B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89695F" w:rsidRPr="0089695F" w14:paraId="0918CADB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AD70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Rate per 1000 population aged 18+ referred to </w:t>
            </w:r>
            <w:proofErr w:type="gramStart"/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adults</w:t>
            </w:r>
            <w:proofErr w:type="gramEnd"/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social care (2021/22)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BD577ED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C1EB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47.7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2A5A45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D352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CMBC</w:t>
            </w:r>
          </w:p>
        </w:tc>
      </w:tr>
      <w:tr w:rsidR="0089695F" w:rsidRPr="0089695F" w14:paraId="36CAA22D" w14:textId="77777777" w:rsidTr="0020599A">
        <w:trPr>
          <w:trHeight w:val="2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172AF3C6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Circulatory Diseases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65D6BFF4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7A8EE95A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579B093F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1BE90EC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9695F" w:rsidRPr="0089695F" w14:paraId="65B3B23F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5651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Coronary Heart Disease prevalence (all ages) [2021/22]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1D38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395C53C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6B1D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E29F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89695F" w:rsidRPr="0089695F" w14:paraId="1176BA44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F57A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Heart Failure: QOF prevalence (all ages) [2021/22]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3DB13F4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27D2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7543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5A3E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89695F" w:rsidRPr="0089695F" w14:paraId="0BCB774D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8FF5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Heart failure w LVD prevalence (all ages) [2021/22]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FA367E4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AD59761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4054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0.4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9310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89695F" w:rsidRPr="0089695F" w14:paraId="17A69CF1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7814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Stroke prevalence (all ages) [2021/22]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4618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698F4B7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DCD6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B4BD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89695F" w:rsidRPr="0089695F" w14:paraId="35C00E97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7AB4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Atrial fibrillation: QOF prevalence (all ages) (2021/22)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1732B3A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0FD6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4E53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87DE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89695F" w:rsidRPr="0089695F" w14:paraId="1D242E01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8083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Peripheral arterial disease QOF prevalence (all ages) [2021/22]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EA46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15A3A3F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7348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5651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89695F" w:rsidRPr="0089695F" w14:paraId="5584F64A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A845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Hypertension: QOF prevalence (all ages) [2021/22]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415129E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1009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24E6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80AA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89695F" w:rsidRPr="0089695F" w14:paraId="77890F96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4A86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Deaths for ischaemic heart disease (all ages) [2017 -2021]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8DCE81F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126.6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C741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110.7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05C1DB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E612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89695F" w:rsidRPr="0089695F" w14:paraId="6C2CD7FE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DF88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Deaths for ischaemic heart disease (aged &lt;65) [2017 -2021]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4B74FED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2A0A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20.0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938DB0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5A6E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89695F" w:rsidRPr="0089695F" w14:paraId="7E5C5897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27A8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Deaths for cerebrovascular disease (all ages) [2017 -2021]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3691F97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A93C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53.9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2826AA5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FB8F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89695F" w:rsidRPr="0089695F" w14:paraId="0FE8A1F2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892D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Deaths for cerebrovascular disease (aged &lt;65) [2017 -2021]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5000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E2DF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BF5ACE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69DA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89695F" w:rsidRPr="0089695F" w14:paraId="599EE271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7AE8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Deaths for cardiovascular disease (all ages) [2017 -2021]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D0D06C0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273.8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BFE1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249.3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75E333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C171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89695F" w:rsidRPr="0089695F" w14:paraId="08DA3469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F373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Deaths for cardiovascular disease (aged &lt;65) [2017 -2021]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BC559EC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6FBA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38.7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2606DE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3363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89695F" w:rsidRPr="0089695F" w14:paraId="1417BD6C" w14:textId="77777777" w:rsidTr="0020599A">
        <w:trPr>
          <w:trHeight w:val="2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361952A6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Cancer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04846E1E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67813722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632D0311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0DB9CB5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9695F" w:rsidRPr="0089695F" w14:paraId="67B8B568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A0C3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Cancer prevalence all ages [2021/22]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1865274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915D81F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0F02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68DC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89695F" w:rsidRPr="0089695F" w14:paraId="79007548" w14:textId="77777777" w:rsidTr="0020599A">
        <w:trPr>
          <w:trHeight w:val="5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4FCB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Persons eligible, 25-49, attending cervical screening within target period (</w:t>
            </w:r>
            <w:proofErr w:type="gramStart"/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3.5 year</w:t>
            </w:r>
            <w:proofErr w:type="gramEnd"/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coverage, %) 2021/22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A45DFA3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5A12F3B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71.7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BB0F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69.0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F302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89695F" w:rsidRPr="0089695F" w14:paraId="5A35928E" w14:textId="77777777" w:rsidTr="0020599A">
        <w:trPr>
          <w:trHeight w:val="5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3807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Persons eligible, 50-64, attending cervical screening within target period (</w:t>
            </w:r>
            <w:proofErr w:type="gramStart"/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5.5 year</w:t>
            </w:r>
            <w:proofErr w:type="gramEnd"/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coverage, %) 2021/22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A923B8A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74.0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702CC2F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76.9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29F9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76.1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1BE3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89695F" w:rsidRPr="0089695F" w14:paraId="257C1D77" w14:textId="77777777" w:rsidTr="0020599A">
        <w:trPr>
          <w:trHeight w:val="5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292D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Persons eligible, 50-70, screened for breast cancer in last 36 months (</w:t>
            </w:r>
            <w:proofErr w:type="gramStart"/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year</w:t>
            </w:r>
            <w:proofErr w:type="gramEnd"/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coverage, %) 2021/22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5EC8A26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E7CB5BC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47.2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D6A5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62.3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60C3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89695F" w:rsidRPr="0089695F" w14:paraId="5E96393E" w14:textId="77777777" w:rsidTr="0020599A">
        <w:trPr>
          <w:trHeight w:val="5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2531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Persons eligible, 60-74, screened for bowel cancer in last 30 months (</w:t>
            </w:r>
            <w:proofErr w:type="gramStart"/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2.5 year</w:t>
            </w:r>
            <w:proofErr w:type="gramEnd"/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coverage, %) 2021/22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3367CCD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C5EA08F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72.8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70DA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70.3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5268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89695F" w:rsidRPr="0089695F" w14:paraId="21CC61C4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FB15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Number of emergency admissions with cancer (per 100,000) [2021/22]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3931C42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371.0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DB002B0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475.0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1DBD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514.0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A29E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89695F" w:rsidRPr="0089695F" w14:paraId="060C584A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51ED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Palliative/supportive care: QOF prevalence (all ages) [2021/22]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D402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FB36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2015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9AD2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89695F" w:rsidRPr="0089695F" w14:paraId="2E99D2E9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B4E0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for cancer (all ages) [2017 -2021]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AC5E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265.7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9ECA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263.6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6382FA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7142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89695F" w:rsidRPr="0089695F" w14:paraId="04F7B757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F7A1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for cancer (aged &lt;65) [2017 -2021]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C429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4F95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58.9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2F7D62E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6E63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89695F" w:rsidRPr="0089695F" w14:paraId="2BB73D82" w14:textId="77777777" w:rsidTr="0020599A">
        <w:trPr>
          <w:trHeight w:val="2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2E41433F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Mental Health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18BD9C09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3D17B812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51FD6A39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E0E4D4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9695F" w:rsidRPr="0089695F" w14:paraId="4F0207F1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6950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Mental Health: QOF prevalence (all ages) [2021/22]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FEAC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831F9CE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2E33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369D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89695F" w:rsidRPr="0089695F" w14:paraId="079028B4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7967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Depression: QOF incidence (18+) - new diagnosis [2021/22]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1784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2081E83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4F4B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E9EE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89695F" w:rsidRPr="0089695F" w14:paraId="02D09F89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41AE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Dementia: QOF prevalence (all ages) [2021/22]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8435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B07C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469D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A60A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89695F" w:rsidRPr="0089695F" w14:paraId="660F50F0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EC57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for suicide (all ages) [2017-2021]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8778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EA79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8802AB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2461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89695F" w:rsidRPr="0089695F" w14:paraId="493D9A52" w14:textId="77777777" w:rsidTr="0020599A">
        <w:trPr>
          <w:trHeight w:val="2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74A0EDC3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Respiratory Conditions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5CCE453A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7042B7C8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A915B35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64DB4B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9695F" w:rsidRPr="0089695F" w14:paraId="3F7E4825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1FF8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COPD: QOF prevalence (all ages) [2021/22]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2154151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7A32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ABBB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D711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89695F" w:rsidRPr="0089695F" w14:paraId="62D5964B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8A48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Asthma: QOF prevalence (all ages (6+)) [2021/22]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89FD9FF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16C8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B5F9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6.5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D798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89695F" w:rsidRPr="0089695F" w14:paraId="527227BC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9E4D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for respiratory conditions (all ages) [2017-2021]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CEC2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147.4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B9B2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132.3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34DDF9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5A1E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89695F" w:rsidRPr="0089695F" w14:paraId="5244248B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3470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for respiratory conditions (aged &lt;65) [2017-2021]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BC757B3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2B8C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9F5DB5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C1A8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89695F" w:rsidRPr="0089695F" w14:paraId="3C357A6A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D286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for chronic lower respiratory conditions (all ages) [2017-2021]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12FB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F8C8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62.0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6BE314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489D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89695F" w:rsidRPr="0089695F" w14:paraId="4C44F233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0401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for chronic lower respiratory conditions (aged &lt;65) [2017-2021]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8FD9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70D8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D8CF6E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9B4F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89695F" w:rsidRPr="0089695F" w14:paraId="5474813A" w14:textId="77777777" w:rsidTr="0020599A">
        <w:trPr>
          <w:trHeight w:val="2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0C0C79D4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Other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55AA71B0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06D84535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31E3B4AF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7975A6B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9695F" w:rsidRPr="0089695F" w14:paraId="6D8445DC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7D6B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Learning disability: QOF prevalence [2021/22]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2233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DE6F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3558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55D2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89695F" w:rsidRPr="0089695F" w14:paraId="24B6975C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EA68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Chronic Kidney Disease: QOF prevalence (18+) [2021/22]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5765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8B69FB3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5FFC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04BD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89695F" w:rsidRPr="0089695F" w14:paraId="5EB001C5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6FF4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Diabetes: QOF prevalence (17+) [2021/22]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FA89AB7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244255C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342E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7.3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A8FF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89695F" w:rsidRPr="0089695F" w14:paraId="40BB1D5C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D92E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Epilepsy: QOF prevalence (18+) [2021/22]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81CB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FF8188C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777F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054C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89695F" w:rsidRPr="0089695F" w14:paraId="5027B882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29B6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Rheumatoid Arthritis: QOF prevalence (16+) [2021/22]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1C6A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B433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CA05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E2DA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89695F" w:rsidRPr="0089695F" w14:paraId="3C8B578C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420C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for accidents (all ages) [2017-2021]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92A3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4D9C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25.7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341DB6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7FE5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89695F" w:rsidRPr="0089695F" w14:paraId="3E477AA5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6A27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for accidents (aged &lt;65) [2017-2021]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4145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21.1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CB82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3F1317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4388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89695F" w:rsidRPr="0089695F" w14:paraId="23D60FD2" w14:textId="77777777" w:rsidTr="0020599A">
        <w:trPr>
          <w:trHeight w:val="2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5738D54C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Ageing Well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3A5B97C8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66DA9EF5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6C110BE5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50249CC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9695F" w:rsidRPr="0089695F" w14:paraId="67241F7B" w14:textId="77777777" w:rsidTr="0020599A">
        <w:trPr>
          <w:trHeight w:val="5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B6AA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Percentage aged 60+ claiming Personal Independence Payment (Jan 2023)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9518D9E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8B2DBE2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661D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6.5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2780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Stat-xplore DWP, GP practice populations 2022</w:t>
            </w:r>
          </w:p>
        </w:tc>
      </w:tr>
      <w:tr w:rsidR="0089695F" w:rsidRPr="0089695F" w14:paraId="2C6C5CA3" w14:textId="77777777" w:rsidTr="0020599A">
        <w:trPr>
          <w:trHeight w:val="5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B00C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Percentage aged 65+ claiming Attendance Allowance (Jan 2023)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6E6B657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12.0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1CB8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9503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6996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Stat-xplore DWP, GP practice populations 2022</w:t>
            </w:r>
          </w:p>
        </w:tc>
      </w:tr>
      <w:tr w:rsidR="0089695F" w:rsidRPr="0089695F" w14:paraId="47D69B92" w14:textId="77777777" w:rsidTr="0020599A">
        <w:trPr>
          <w:trHeight w:val="5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9515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aged 65+ claiming pension credit (Nov 2022)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0A6257E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049B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59C4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A707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Stat-xplore DWP, GP practice populations 2022</w:t>
            </w:r>
          </w:p>
        </w:tc>
      </w:tr>
      <w:tr w:rsidR="0089695F" w:rsidRPr="0089695F" w14:paraId="08D6EFD3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1CB0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Osteoporosis: QOF prevalence (50+) [2021/22]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4DF4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B433E18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D7E4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1002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89695F" w:rsidRPr="0089695F" w14:paraId="12E82AB9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35FD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Deaths for all causes (aged 65+) [2017-2021]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112F791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4848.0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222F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4429.2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1C3ADF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3B20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89695F" w:rsidRPr="0089695F" w14:paraId="5C9C4625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A47D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Deaths for accidents (aged 65+) [2017-2021]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52D6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A64C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64.2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3088130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BE2B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89695F" w:rsidRPr="0089695F" w14:paraId="6F396F9C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E111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Deaths from Dementia (aged 65+) [2017-2021]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E362B07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406.1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B46F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305.2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A00122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4419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89695F" w:rsidRPr="0089695F" w14:paraId="3EAFAA2D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AF88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Deaths for ischaemic heart disease (aged 65+) [2017-2021]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B19F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529.6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09F6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485.1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BAFD1C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CD60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89695F" w:rsidRPr="0089695F" w14:paraId="43842F88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5311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Deaths from cerebrovascular disease (aged 65+) [2017-2021]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A166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295.5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8106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249.9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859B25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BDB9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89695F" w:rsidRPr="0089695F" w14:paraId="2C394BA0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5FA1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Deaths from cardiovascular disease (aged 65+) [2017-2021]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7A8F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1192.5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75F9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1118.4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05A9DF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B6BE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89695F" w:rsidRPr="0089695F" w14:paraId="74AA910F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003C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Deaths for cancer (aged 65+) [2017-2021]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BFBB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1111.2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6325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1108.7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803FBC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D91A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89695F" w:rsidRPr="0089695F" w14:paraId="390B43F9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EBC0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Deaths for respiratory disease (aged 65+) [2017-2021]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15F7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661.9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902D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613.6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822FA51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EBE3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89695F" w:rsidRPr="0089695F" w14:paraId="4B9A3BC5" w14:textId="77777777" w:rsidTr="0020599A">
        <w:trPr>
          <w:trHeight w:val="2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7F81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Deaths for chronic lower respiratory disease (aged 65+) [2017-2021]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1564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265.3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402D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284.7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D6AB98" w14:textId="77777777" w:rsidR="0089695F" w:rsidRPr="0089695F" w:rsidRDefault="0089695F" w:rsidP="00896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9E15" w14:textId="77777777" w:rsidR="0089695F" w:rsidRPr="0089695F" w:rsidRDefault="0089695F" w:rsidP="0089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69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</w:tbl>
    <w:p w14:paraId="5B1789E5" w14:textId="77777777" w:rsidR="00044624" w:rsidRDefault="00044624" w:rsidP="00805CDE">
      <w:pPr>
        <w:rPr>
          <w:rFonts w:ascii="Arial" w:hAnsi="Arial" w:cs="Arial"/>
        </w:rPr>
      </w:pPr>
    </w:p>
    <w:p w14:paraId="14C8B209" w14:textId="62045401" w:rsidR="00805CDE" w:rsidRPr="00A81FD1" w:rsidRDefault="00805CDE" w:rsidP="00805C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contact the Public Health Intelligence team at </w:t>
      </w:r>
      <w:hyperlink r:id="rId13" w:history="1">
        <w:r w:rsidRPr="00E9387B">
          <w:rPr>
            <w:rStyle w:val="Hyperlink"/>
            <w:rFonts w:ascii="Arial" w:hAnsi="Arial" w:cs="Arial"/>
          </w:rPr>
          <w:t>ph.intelligence@calderdale.gov.uk</w:t>
        </w:r>
      </w:hyperlink>
      <w:r>
        <w:rPr>
          <w:rFonts w:ascii="Arial" w:hAnsi="Arial" w:cs="Arial"/>
        </w:rPr>
        <w:t xml:space="preserve"> if you require this data in another format.</w:t>
      </w:r>
    </w:p>
    <w:p w14:paraId="18005B9B" w14:textId="77777777" w:rsidR="003479A4" w:rsidRPr="006A1432" w:rsidRDefault="003479A4" w:rsidP="00805CDE">
      <w:pPr>
        <w:spacing w:after="0"/>
        <w:rPr>
          <w:rFonts w:ascii="Arial" w:hAnsi="Arial" w:cs="Arial"/>
        </w:rPr>
      </w:pPr>
    </w:p>
    <w:sectPr w:rsidR="003479A4" w:rsidRPr="006A1432" w:rsidSect="00C0390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8AC68" w14:textId="77777777" w:rsidR="000C5002" w:rsidRDefault="000C5002" w:rsidP="0026562D">
      <w:pPr>
        <w:spacing w:after="0" w:line="240" w:lineRule="auto"/>
      </w:pPr>
      <w:r>
        <w:separator/>
      </w:r>
    </w:p>
  </w:endnote>
  <w:endnote w:type="continuationSeparator" w:id="0">
    <w:p w14:paraId="1173717C" w14:textId="77777777" w:rsidR="000C5002" w:rsidRDefault="000C5002" w:rsidP="0026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D3DB" w14:textId="77777777" w:rsidR="0020599A" w:rsidRPr="0020599A" w:rsidRDefault="0020599A" w:rsidP="0020599A">
    <w:pPr>
      <w:pStyle w:val="Footer"/>
      <w:rPr>
        <w:sz w:val="8"/>
        <w:szCs w:val="8"/>
      </w:rPr>
    </w:pPr>
  </w:p>
  <w:p w14:paraId="69D4D69C" w14:textId="253A0613" w:rsidR="0020599A" w:rsidRDefault="0020599A" w:rsidP="0020599A">
    <w:pPr>
      <w:pStyle w:val="Footer"/>
    </w:pPr>
    <w:r>
      <w:t>Public Health Intelligence Team</w:t>
    </w:r>
  </w:p>
  <w:p w14:paraId="67427852" w14:textId="6842E840" w:rsidR="00D725B6" w:rsidRDefault="00D725B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7FAF">
      <w:rPr>
        <w:noProof/>
      </w:rPr>
      <w:t>1</w:t>
    </w:r>
    <w:r>
      <w:rPr>
        <w:noProof/>
      </w:rPr>
      <w:fldChar w:fldCharType="end"/>
    </w:r>
  </w:p>
  <w:p w14:paraId="7C0EDE77" w14:textId="77777777" w:rsidR="00AB3104" w:rsidRDefault="00AB31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E104A" w14:textId="77777777" w:rsidR="000C5002" w:rsidRDefault="000C5002" w:rsidP="0026562D">
      <w:pPr>
        <w:spacing w:after="0" w:line="240" w:lineRule="auto"/>
      </w:pPr>
      <w:r>
        <w:separator/>
      </w:r>
    </w:p>
  </w:footnote>
  <w:footnote w:type="continuationSeparator" w:id="0">
    <w:p w14:paraId="1CF3B063" w14:textId="77777777" w:rsidR="000C5002" w:rsidRDefault="000C5002" w:rsidP="00265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156B"/>
    <w:multiLevelType w:val="hybridMultilevel"/>
    <w:tmpl w:val="D2B85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306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90"/>
    <w:rsid w:val="0000429C"/>
    <w:rsid w:val="00023B5B"/>
    <w:rsid w:val="000334DE"/>
    <w:rsid w:val="00033B4D"/>
    <w:rsid w:val="00044624"/>
    <w:rsid w:val="00044CAF"/>
    <w:rsid w:val="00056AB2"/>
    <w:rsid w:val="00060BDD"/>
    <w:rsid w:val="00073531"/>
    <w:rsid w:val="0008285E"/>
    <w:rsid w:val="000B4040"/>
    <w:rsid w:val="000C5002"/>
    <w:rsid w:val="000D443E"/>
    <w:rsid w:val="000E666D"/>
    <w:rsid w:val="000F0631"/>
    <w:rsid w:val="000F18E6"/>
    <w:rsid w:val="00103D61"/>
    <w:rsid w:val="00121C3F"/>
    <w:rsid w:val="00122F8E"/>
    <w:rsid w:val="00130BB2"/>
    <w:rsid w:val="0014493D"/>
    <w:rsid w:val="00145B09"/>
    <w:rsid w:val="001507E2"/>
    <w:rsid w:val="00157890"/>
    <w:rsid w:val="00164794"/>
    <w:rsid w:val="00165D31"/>
    <w:rsid w:val="00181F1F"/>
    <w:rsid w:val="001863DD"/>
    <w:rsid w:val="00190BEF"/>
    <w:rsid w:val="001A004E"/>
    <w:rsid w:val="001B4F79"/>
    <w:rsid w:val="001C40C5"/>
    <w:rsid w:val="001C6AB9"/>
    <w:rsid w:val="001E7DF9"/>
    <w:rsid w:val="001F6803"/>
    <w:rsid w:val="002003E3"/>
    <w:rsid w:val="0020599A"/>
    <w:rsid w:val="00233C69"/>
    <w:rsid w:val="002530F0"/>
    <w:rsid w:val="002640C8"/>
    <w:rsid w:val="0026562D"/>
    <w:rsid w:val="002813CB"/>
    <w:rsid w:val="00283CE9"/>
    <w:rsid w:val="002C20FA"/>
    <w:rsid w:val="002C6033"/>
    <w:rsid w:val="002D0318"/>
    <w:rsid w:val="002F4506"/>
    <w:rsid w:val="00301DD0"/>
    <w:rsid w:val="0030362B"/>
    <w:rsid w:val="003127BC"/>
    <w:rsid w:val="00331BC4"/>
    <w:rsid w:val="003479A4"/>
    <w:rsid w:val="003556E2"/>
    <w:rsid w:val="00391BFE"/>
    <w:rsid w:val="003A119E"/>
    <w:rsid w:val="003A3DCE"/>
    <w:rsid w:val="003B12E3"/>
    <w:rsid w:val="003C29D1"/>
    <w:rsid w:val="003F0AC7"/>
    <w:rsid w:val="003F4AD1"/>
    <w:rsid w:val="003F5920"/>
    <w:rsid w:val="00407287"/>
    <w:rsid w:val="0041356A"/>
    <w:rsid w:val="0041744C"/>
    <w:rsid w:val="004237A0"/>
    <w:rsid w:val="00436991"/>
    <w:rsid w:val="004432AD"/>
    <w:rsid w:val="004A537D"/>
    <w:rsid w:val="004C4E4C"/>
    <w:rsid w:val="004F7F73"/>
    <w:rsid w:val="005151AD"/>
    <w:rsid w:val="00516087"/>
    <w:rsid w:val="005374F8"/>
    <w:rsid w:val="00545675"/>
    <w:rsid w:val="00562987"/>
    <w:rsid w:val="00591B31"/>
    <w:rsid w:val="005B5A98"/>
    <w:rsid w:val="005B7FAF"/>
    <w:rsid w:val="005F0369"/>
    <w:rsid w:val="005F2A09"/>
    <w:rsid w:val="005F416A"/>
    <w:rsid w:val="00604DC1"/>
    <w:rsid w:val="00613013"/>
    <w:rsid w:val="00624311"/>
    <w:rsid w:val="006255DA"/>
    <w:rsid w:val="00633C12"/>
    <w:rsid w:val="00661660"/>
    <w:rsid w:val="00662C35"/>
    <w:rsid w:val="00672680"/>
    <w:rsid w:val="00682B9C"/>
    <w:rsid w:val="006A1432"/>
    <w:rsid w:val="006B2E7E"/>
    <w:rsid w:val="006B6DFC"/>
    <w:rsid w:val="006C1782"/>
    <w:rsid w:val="00722DC0"/>
    <w:rsid w:val="0074315F"/>
    <w:rsid w:val="00777CDD"/>
    <w:rsid w:val="00790AFD"/>
    <w:rsid w:val="007C270C"/>
    <w:rsid w:val="007C5158"/>
    <w:rsid w:val="007D579F"/>
    <w:rsid w:val="007E156E"/>
    <w:rsid w:val="007F6A60"/>
    <w:rsid w:val="00804790"/>
    <w:rsid w:val="00805CDE"/>
    <w:rsid w:val="008347AA"/>
    <w:rsid w:val="00852363"/>
    <w:rsid w:val="008629F9"/>
    <w:rsid w:val="00865D45"/>
    <w:rsid w:val="008740B8"/>
    <w:rsid w:val="00875B17"/>
    <w:rsid w:val="00880D6F"/>
    <w:rsid w:val="008815ED"/>
    <w:rsid w:val="00884C12"/>
    <w:rsid w:val="0089695F"/>
    <w:rsid w:val="008A26EB"/>
    <w:rsid w:val="008B09B1"/>
    <w:rsid w:val="008C0C72"/>
    <w:rsid w:val="008C6295"/>
    <w:rsid w:val="008D06A8"/>
    <w:rsid w:val="008D1521"/>
    <w:rsid w:val="008D3860"/>
    <w:rsid w:val="008D3985"/>
    <w:rsid w:val="008E1D57"/>
    <w:rsid w:val="00907A2F"/>
    <w:rsid w:val="00912C1B"/>
    <w:rsid w:val="00927CA7"/>
    <w:rsid w:val="00935CC4"/>
    <w:rsid w:val="00944D65"/>
    <w:rsid w:val="009458B7"/>
    <w:rsid w:val="00975719"/>
    <w:rsid w:val="009A3484"/>
    <w:rsid w:val="009E6E91"/>
    <w:rsid w:val="00A210CA"/>
    <w:rsid w:val="00A35BB8"/>
    <w:rsid w:val="00A36B18"/>
    <w:rsid w:val="00A658F2"/>
    <w:rsid w:val="00A67964"/>
    <w:rsid w:val="00A7060E"/>
    <w:rsid w:val="00A90590"/>
    <w:rsid w:val="00AB3104"/>
    <w:rsid w:val="00AC47B3"/>
    <w:rsid w:val="00AD56B6"/>
    <w:rsid w:val="00AE2BFE"/>
    <w:rsid w:val="00B164BF"/>
    <w:rsid w:val="00B22EFD"/>
    <w:rsid w:val="00B4542F"/>
    <w:rsid w:val="00B478E6"/>
    <w:rsid w:val="00B54A09"/>
    <w:rsid w:val="00B870B5"/>
    <w:rsid w:val="00B9505B"/>
    <w:rsid w:val="00B96DCE"/>
    <w:rsid w:val="00BA1E42"/>
    <w:rsid w:val="00BA26A3"/>
    <w:rsid w:val="00BB1F4D"/>
    <w:rsid w:val="00BC1A94"/>
    <w:rsid w:val="00BD7DD1"/>
    <w:rsid w:val="00BF2530"/>
    <w:rsid w:val="00BF6770"/>
    <w:rsid w:val="00C03900"/>
    <w:rsid w:val="00C2378F"/>
    <w:rsid w:val="00C42B7D"/>
    <w:rsid w:val="00C43EF3"/>
    <w:rsid w:val="00C65253"/>
    <w:rsid w:val="00C91300"/>
    <w:rsid w:val="00C9576A"/>
    <w:rsid w:val="00CA63BD"/>
    <w:rsid w:val="00CB2ACB"/>
    <w:rsid w:val="00CC15AF"/>
    <w:rsid w:val="00CD1FE5"/>
    <w:rsid w:val="00CF4F1F"/>
    <w:rsid w:val="00CF6CBD"/>
    <w:rsid w:val="00D04BF9"/>
    <w:rsid w:val="00D725B6"/>
    <w:rsid w:val="00DA4251"/>
    <w:rsid w:val="00DA427E"/>
    <w:rsid w:val="00DF4670"/>
    <w:rsid w:val="00E34D81"/>
    <w:rsid w:val="00E51C84"/>
    <w:rsid w:val="00E52BC2"/>
    <w:rsid w:val="00E571E5"/>
    <w:rsid w:val="00E61798"/>
    <w:rsid w:val="00E6322A"/>
    <w:rsid w:val="00E66142"/>
    <w:rsid w:val="00E74A69"/>
    <w:rsid w:val="00E74F01"/>
    <w:rsid w:val="00E95B8F"/>
    <w:rsid w:val="00EA145F"/>
    <w:rsid w:val="00EC5B0E"/>
    <w:rsid w:val="00EE113C"/>
    <w:rsid w:val="00F101E1"/>
    <w:rsid w:val="00F26086"/>
    <w:rsid w:val="00F54E3D"/>
    <w:rsid w:val="00F7024C"/>
    <w:rsid w:val="00F7423D"/>
    <w:rsid w:val="00F7777E"/>
    <w:rsid w:val="00F92D69"/>
    <w:rsid w:val="00FA0501"/>
    <w:rsid w:val="00FC0AC3"/>
    <w:rsid w:val="00FF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232CCC"/>
  <w15:chartTrackingRefBased/>
  <w15:docId w15:val="{AC7069CE-860D-430A-8D04-7DA7F6BB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62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6562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6562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6562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562D"/>
    <w:rPr>
      <w:rFonts w:ascii="Tahoma" w:hAnsi="Tahoma" w:cs="Tahoma"/>
      <w:sz w:val="16"/>
      <w:szCs w:val="16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356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1356A"/>
    <w:rPr>
      <w:b/>
      <w:bCs/>
      <w:i/>
      <w:iCs/>
      <w:color w:val="4F81BD"/>
      <w:sz w:val="22"/>
      <w:szCs w:val="22"/>
      <w:lang w:eastAsia="en-US"/>
    </w:rPr>
  </w:style>
  <w:style w:type="paragraph" w:customStyle="1" w:styleId="3CBD5A742C28424DA5172AD252E32316">
    <w:name w:val="3CBD5A742C28424DA5172AD252E32316"/>
    <w:rsid w:val="006B6DFC"/>
    <w:pPr>
      <w:spacing w:after="200" w:line="276" w:lineRule="auto"/>
    </w:pPr>
    <w:rPr>
      <w:rFonts w:eastAsia="MS Mincho" w:cs="Arial"/>
      <w:sz w:val="22"/>
      <w:szCs w:val="22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0B4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0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0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040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805CD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458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B870B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h.intelligence@calderdal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47353-2543-4813-9A63-4D3F5290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2939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MBC</Company>
  <LinksUpToDate>false</LinksUpToDate>
  <CharactersWithSpaces>19658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Health Intelligence Team</dc:creator>
  <cp:keywords/>
  <cp:lastModifiedBy>Cath Bentley</cp:lastModifiedBy>
  <cp:revision>2</cp:revision>
  <cp:lastPrinted>2019-09-25T12:46:00Z</cp:lastPrinted>
  <dcterms:created xsi:type="dcterms:W3CDTF">2024-01-12T13:58:00Z</dcterms:created>
  <dcterms:modified xsi:type="dcterms:W3CDTF">2024-01-12T13:58:00Z</dcterms:modified>
</cp:coreProperties>
</file>