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84" w:rsidRDefault="00BD7A84" w:rsidP="00BD7A84">
      <w:pPr>
        <w:spacing w:before="300" w:after="150" w:line="240" w:lineRule="auto"/>
        <w:outlineLvl w:val="0"/>
        <w:rPr>
          <w:rFonts w:ascii="Arial" w:eastAsia="Times New Roman" w:hAnsi="Arial" w:cs="Arial"/>
          <w:color w:val="000000"/>
          <w:kern w:val="36"/>
          <w:sz w:val="42"/>
          <w:szCs w:val="42"/>
          <w:lang w:val="en-US" w:eastAsia="en-GB"/>
        </w:rPr>
      </w:pPr>
      <w:bookmarkStart w:id="0" w:name="_GoBack"/>
      <w:bookmarkEnd w:id="0"/>
      <w:r w:rsidRPr="00BD7A84">
        <w:rPr>
          <w:rFonts w:ascii="Arial" w:eastAsia="Times New Roman" w:hAnsi="Arial" w:cs="Arial"/>
          <w:color w:val="000000"/>
          <w:kern w:val="36"/>
          <w:sz w:val="42"/>
          <w:szCs w:val="42"/>
          <w:lang w:val="en-US" w:eastAsia="en-GB"/>
        </w:rPr>
        <w:t xml:space="preserve">Indices of Deprivation for </w:t>
      </w:r>
      <w:r>
        <w:rPr>
          <w:rFonts w:ascii="Arial" w:eastAsia="Times New Roman" w:hAnsi="Arial" w:cs="Arial"/>
          <w:color w:val="000000"/>
          <w:kern w:val="36"/>
          <w:sz w:val="42"/>
          <w:szCs w:val="42"/>
          <w:lang w:val="en-US" w:eastAsia="en-GB"/>
        </w:rPr>
        <w:t>Calderdale</w:t>
      </w:r>
    </w:p>
    <w:p w:rsidR="00817454" w:rsidRDefault="00817454" w:rsidP="00817454">
      <w:r w:rsidRPr="00730833">
        <w:t xml:space="preserve">The English Indices of </w:t>
      </w:r>
      <w:r>
        <w:t xml:space="preserve">Multiple Deprivation (IMD) 2015 </w:t>
      </w:r>
      <w:r w:rsidRPr="00730833">
        <w:t xml:space="preserve">provide an official measure of relative deprivation for small </w:t>
      </w:r>
      <w:r>
        <w:t xml:space="preserve">neighbourhood </w:t>
      </w:r>
      <w:r w:rsidRPr="00730833">
        <w:t xml:space="preserve">areas </w:t>
      </w:r>
      <w:r>
        <w:t xml:space="preserve">of approximately 1500 people </w:t>
      </w:r>
      <w:r w:rsidRPr="00730833">
        <w:t xml:space="preserve">called “Lower-layer super output areas” </w:t>
      </w:r>
      <w:r>
        <w:t xml:space="preserve">(LSOAs).  </w:t>
      </w:r>
      <w:r w:rsidRPr="00730833">
        <w:t xml:space="preserve">IMD </w:t>
      </w:r>
      <w:r>
        <w:t xml:space="preserve">2015 </w:t>
      </w:r>
      <w:r w:rsidRPr="00730833">
        <w:t>ranks every small area in England from 1 (most deprived) to 32</w:t>
      </w:r>
      <w:r>
        <w:t>,</w:t>
      </w:r>
      <w:r w:rsidRPr="00730833">
        <w:t xml:space="preserve">844 (least deprived).  </w:t>
      </w:r>
      <w:r>
        <w:t>It also ranks local authority districts (out of 326), “upper-tier authorities” (out of 152), and local enterprise partnerships (out of 39).</w:t>
      </w:r>
    </w:p>
    <w:p w:rsidR="00817454" w:rsidRDefault="00817454" w:rsidP="00817454">
      <w:r>
        <w:t>The IMD indices are</w:t>
      </w:r>
      <w:r w:rsidRPr="00730833">
        <w:t xml:space="preserve"> used by local authorities, the voluntary and community sector and national funders to inform their priorities for service delivery.</w:t>
      </w:r>
      <w:r>
        <w:t xml:space="preserve">  IMD 2015 was produced by the Department for Communities and Local Government (DCLG) and is the fourth version of its kind; earlier versions were published in 2010, 2007 and 2004.</w:t>
      </w:r>
    </w:p>
    <w:p w:rsidR="00BD7A84" w:rsidRPr="00BD7A84" w:rsidRDefault="00817454" w:rsidP="00817454">
      <w:pPr>
        <w:rPr>
          <w:rFonts w:ascii="Arial" w:eastAsia="Times New Roman" w:hAnsi="Arial" w:cs="Arial"/>
          <w:color w:val="333333"/>
          <w:sz w:val="21"/>
          <w:szCs w:val="21"/>
          <w:lang w:val="en-US" w:eastAsia="en-GB"/>
        </w:rPr>
      </w:pPr>
      <w:r>
        <w:t xml:space="preserve">IMD 2015 is based on seven domains of deprivation.  </w:t>
      </w:r>
      <w:r>
        <w:rPr>
          <w:rFonts w:ascii="Arial" w:eastAsia="Times New Roman" w:hAnsi="Arial" w:cs="Arial"/>
          <w:color w:val="333333"/>
          <w:sz w:val="21"/>
          <w:szCs w:val="21"/>
          <w:lang w:val="en-US" w:eastAsia="en-GB"/>
        </w:rPr>
        <w:t xml:space="preserve">These are </w:t>
      </w:r>
      <w:r w:rsidR="00BD7A84" w:rsidRPr="00BD7A84">
        <w:rPr>
          <w:rFonts w:ascii="Arial" w:eastAsia="Times New Roman" w:hAnsi="Arial" w:cs="Arial"/>
          <w:color w:val="333333"/>
          <w:sz w:val="21"/>
          <w:szCs w:val="21"/>
          <w:lang w:val="en-US" w:eastAsia="en-GB"/>
        </w:rPr>
        <w:t>combined using the following weights to produce the overall Index of Multiple Deprivation (IMD):</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Income Deprivation (22.5%)</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Employment Deprivation (22.5%)</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Education, Skills and Training Deprivation (13.5%)</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Health Deprivation and Disability (13.5%)</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Crime (9.3%)</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Barriers to Housing and Services (9.3%)</w:t>
      </w:r>
    </w:p>
    <w:p w:rsidR="00BD7A84" w:rsidRPr="00BD7A84" w:rsidRDefault="00BD7A84" w:rsidP="00BD7A84">
      <w:pPr>
        <w:numPr>
          <w:ilvl w:val="0"/>
          <w:numId w:val="1"/>
        </w:numPr>
        <w:spacing w:before="100" w:beforeAutospacing="1" w:after="100" w:afterAutospacing="1" w:line="240" w:lineRule="auto"/>
        <w:ind w:left="300"/>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Living Environment Deprivation (9.3%)</w:t>
      </w:r>
    </w:p>
    <w:p w:rsidR="00BD7A84" w:rsidRPr="00BD7A84" w:rsidRDefault="00BD7A84" w:rsidP="00BD7A84">
      <w:pPr>
        <w:spacing w:after="150" w:line="240" w:lineRule="auto"/>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In addition to the IMD and the seven domain indices, there are two supplementary indices: the Income Deprivation Affecting Children Index (IDACI) and the Income Deprivation Affecting Older People Index (IDAOPI).</w:t>
      </w:r>
    </w:p>
    <w:p w:rsidR="00BD7A84" w:rsidRPr="00BD7A84" w:rsidRDefault="00BD7A84" w:rsidP="00BD7A84">
      <w:pPr>
        <w:spacing w:before="300" w:after="150" w:line="240" w:lineRule="auto"/>
        <w:outlineLvl w:val="1"/>
        <w:rPr>
          <w:rFonts w:ascii="Arial" w:eastAsia="Times New Roman" w:hAnsi="Arial" w:cs="Arial"/>
          <w:color w:val="000000"/>
          <w:sz w:val="36"/>
          <w:szCs w:val="36"/>
          <w:lang w:val="en-US" w:eastAsia="en-GB"/>
        </w:rPr>
      </w:pPr>
      <w:r w:rsidRPr="00BD7A84">
        <w:rPr>
          <w:rFonts w:ascii="Arial" w:eastAsia="Times New Roman" w:hAnsi="Arial" w:cs="Arial"/>
          <w:color w:val="000000"/>
          <w:sz w:val="36"/>
          <w:szCs w:val="36"/>
          <w:lang w:val="en-US" w:eastAsia="en-GB"/>
        </w:rPr>
        <w:t>Lower super output areas</w:t>
      </w:r>
    </w:p>
    <w:p w:rsidR="00BD7A84" w:rsidRPr="00BD7A84" w:rsidRDefault="00BD7A84" w:rsidP="00BD7A84">
      <w:pPr>
        <w:spacing w:after="150" w:line="240" w:lineRule="auto"/>
        <w:rPr>
          <w:rFonts w:ascii="Arial" w:eastAsia="Times New Roman" w:hAnsi="Arial" w:cs="Arial"/>
          <w:color w:val="333333"/>
          <w:sz w:val="21"/>
          <w:szCs w:val="21"/>
          <w:lang w:val="en-US" w:eastAsia="en-GB"/>
        </w:rPr>
      </w:pPr>
      <w:r w:rsidRPr="00BD7A84">
        <w:rPr>
          <w:rFonts w:ascii="Arial" w:eastAsia="Times New Roman" w:hAnsi="Arial" w:cs="Arial"/>
          <w:color w:val="333333"/>
          <w:sz w:val="21"/>
          <w:szCs w:val="21"/>
          <w:lang w:val="en-US" w:eastAsia="en-GB"/>
        </w:rPr>
        <w:t xml:space="preserve">These are small areas designed to be of a similar population size, with an average of approximately 1,500 residents or 650 households. </w:t>
      </w:r>
      <w:r w:rsidR="00817454">
        <w:rPr>
          <w:rFonts w:ascii="Arial" w:eastAsia="Times New Roman" w:hAnsi="Arial" w:cs="Arial"/>
          <w:color w:val="333333"/>
          <w:sz w:val="21"/>
          <w:szCs w:val="21"/>
          <w:lang w:val="en-US" w:eastAsia="en-GB"/>
        </w:rPr>
        <w:t xml:space="preserve">They were developed by the Office for National Statistics (ONS) to help with reporting of Census 2011 results and other data at different geographic levels including neighbourhood level.  There are 128 LSOAs in Calderdale and </w:t>
      </w:r>
      <w:r w:rsidRPr="00BD7A84">
        <w:rPr>
          <w:rFonts w:ascii="Arial" w:eastAsia="Times New Roman" w:hAnsi="Arial" w:cs="Arial"/>
          <w:color w:val="333333"/>
          <w:sz w:val="21"/>
          <w:szCs w:val="21"/>
          <w:lang w:val="en-US" w:eastAsia="en-GB"/>
        </w:rPr>
        <w:t xml:space="preserve">32,844 in England. </w:t>
      </w:r>
    </w:p>
    <w:p w:rsidR="00BD7A84" w:rsidRPr="00BD7A84" w:rsidRDefault="00BD7A84" w:rsidP="00BD7A84">
      <w:pPr>
        <w:spacing w:before="300" w:after="150" w:line="240" w:lineRule="auto"/>
        <w:outlineLvl w:val="1"/>
        <w:rPr>
          <w:rFonts w:ascii="Arial" w:eastAsia="Times New Roman" w:hAnsi="Arial" w:cs="Arial"/>
          <w:color w:val="000000"/>
          <w:sz w:val="36"/>
          <w:szCs w:val="36"/>
          <w:lang w:val="en-US" w:eastAsia="en-GB"/>
        </w:rPr>
      </w:pPr>
      <w:r w:rsidRPr="00BD7A84">
        <w:rPr>
          <w:rFonts w:ascii="Arial" w:eastAsia="Times New Roman" w:hAnsi="Arial" w:cs="Arial"/>
          <w:color w:val="000000"/>
          <w:sz w:val="36"/>
          <w:szCs w:val="36"/>
          <w:lang w:val="en-US" w:eastAsia="en-GB"/>
        </w:rPr>
        <w:t>Further information</w:t>
      </w:r>
    </w:p>
    <w:p w:rsidR="00BD7A84" w:rsidRDefault="00817454" w:rsidP="00BD7A84">
      <w:pPr>
        <w:spacing w:after="150" w:line="240" w:lineRule="auto"/>
        <w:rPr>
          <w:rFonts w:ascii="Arial" w:eastAsia="Times New Roman" w:hAnsi="Arial" w:cs="Arial"/>
          <w:color w:val="333333"/>
          <w:sz w:val="21"/>
          <w:szCs w:val="21"/>
          <w:lang w:val="en-US" w:eastAsia="en-GB"/>
        </w:rPr>
      </w:pPr>
      <w:r>
        <w:rPr>
          <w:rFonts w:ascii="Arial" w:eastAsia="Times New Roman" w:hAnsi="Arial" w:cs="Arial"/>
          <w:color w:val="333333"/>
          <w:sz w:val="21"/>
          <w:szCs w:val="21"/>
          <w:lang w:val="en-US" w:eastAsia="en-GB"/>
        </w:rPr>
        <w:t xml:space="preserve">Calderdale </w:t>
      </w:r>
      <w:proofErr w:type="spellStart"/>
      <w:r>
        <w:rPr>
          <w:rFonts w:ascii="Arial" w:eastAsia="Times New Roman" w:hAnsi="Arial" w:cs="Arial"/>
          <w:color w:val="333333"/>
          <w:sz w:val="21"/>
          <w:szCs w:val="21"/>
          <w:lang w:val="en-US" w:eastAsia="en-GB"/>
        </w:rPr>
        <w:t>Dataworks</w:t>
      </w:r>
      <w:proofErr w:type="spellEnd"/>
      <w:r>
        <w:rPr>
          <w:rFonts w:ascii="Arial" w:eastAsia="Times New Roman" w:hAnsi="Arial" w:cs="Arial"/>
          <w:color w:val="333333"/>
          <w:sz w:val="21"/>
          <w:szCs w:val="21"/>
          <w:lang w:val="en-US" w:eastAsia="en-GB"/>
        </w:rPr>
        <w:t xml:space="preserve"> includes </w:t>
      </w:r>
      <w:r w:rsidR="00FA1229">
        <w:rPr>
          <w:rFonts w:ascii="Arial" w:eastAsia="Times New Roman" w:hAnsi="Arial" w:cs="Arial"/>
          <w:color w:val="333333"/>
          <w:sz w:val="21"/>
          <w:szCs w:val="21"/>
          <w:lang w:val="en-US" w:eastAsia="en-GB"/>
        </w:rPr>
        <w:t xml:space="preserve">a </w:t>
      </w:r>
      <w:proofErr w:type="spellStart"/>
      <w:r w:rsidR="00FA1229">
        <w:rPr>
          <w:rFonts w:ascii="Arial" w:eastAsia="Times New Roman" w:hAnsi="Arial" w:cs="Arial"/>
          <w:color w:val="333333"/>
          <w:sz w:val="21"/>
          <w:szCs w:val="21"/>
          <w:lang w:val="en-US" w:eastAsia="en-GB"/>
        </w:rPr>
        <w:t>Calderdale’s</w:t>
      </w:r>
      <w:proofErr w:type="spellEnd"/>
      <w:r w:rsidR="00FA1229">
        <w:rPr>
          <w:rFonts w:ascii="Arial" w:eastAsia="Times New Roman" w:hAnsi="Arial" w:cs="Arial"/>
          <w:color w:val="333333"/>
          <w:sz w:val="21"/>
          <w:szCs w:val="21"/>
          <w:lang w:val="en-US" w:eastAsia="en-GB"/>
        </w:rPr>
        <w:t xml:space="preserve"> IMD 2015 overall and individual domain and supplementary indices results in CSV, MS Excel, and map form.  For other enquiries on Calderdale IMD 2015 results contact</w:t>
      </w:r>
      <w:r>
        <w:rPr>
          <w:rFonts w:ascii="Arial" w:eastAsia="Times New Roman" w:hAnsi="Arial" w:cs="Arial"/>
          <w:color w:val="333333"/>
          <w:sz w:val="21"/>
          <w:szCs w:val="21"/>
          <w:lang w:val="en-US" w:eastAsia="en-GB"/>
        </w:rPr>
        <w:t xml:space="preserve"> </w:t>
      </w:r>
      <w:hyperlink r:id="rId6" w:history="1">
        <w:r w:rsidR="00FA1229" w:rsidRPr="004F7551">
          <w:rPr>
            <w:rStyle w:val="Hyperlink"/>
            <w:rFonts w:ascii="Arial" w:eastAsia="Times New Roman" w:hAnsi="Arial" w:cs="Arial"/>
            <w:sz w:val="21"/>
            <w:szCs w:val="21"/>
            <w:lang w:val="en-US" w:eastAsia="en-GB"/>
          </w:rPr>
          <w:t>performance.businessintelligence@calderdale.gov.uk</w:t>
        </w:r>
      </w:hyperlink>
      <w:r w:rsidR="00FA1229">
        <w:rPr>
          <w:rFonts w:ascii="Arial" w:eastAsia="Times New Roman" w:hAnsi="Arial" w:cs="Arial"/>
          <w:color w:val="333333"/>
          <w:sz w:val="21"/>
          <w:szCs w:val="21"/>
          <w:lang w:val="en-US" w:eastAsia="en-GB"/>
        </w:rPr>
        <w:t>.</w:t>
      </w:r>
    </w:p>
    <w:p w:rsidR="00BD7A84" w:rsidRPr="00BD7A84" w:rsidRDefault="00FA1229" w:rsidP="00BD7A84">
      <w:pPr>
        <w:spacing w:after="150" w:line="240" w:lineRule="auto"/>
        <w:rPr>
          <w:rFonts w:ascii="Arial" w:eastAsia="Times New Roman" w:hAnsi="Arial" w:cs="Arial"/>
          <w:color w:val="333333"/>
          <w:sz w:val="21"/>
          <w:szCs w:val="21"/>
          <w:lang w:val="en-US" w:eastAsia="en-GB"/>
        </w:rPr>
      </w:pPr>
      <w:r>
        <w:rPr>
          <w:rFonts w:ascii="Arial" w:eastAsia="Times New Roman" w:hAnsi="Arial" w:cs="Arial"/>
          <w:color w:val="333333"/>
          <w:sz w:val="21"/>
          <w:szCs w:val="21"/>
          <w:lang w:val="en-US" w:eastAsia="en-GB"/>
        </w:rPr>
        <w:t xml:space="preserve">The IMD 2015 results and national supporting guidance is available from </w:t>
      </w:r>
      <w:hyperlink r:id="rId7" w:history="1">
        <w:r w:rsidR="00BD7A84" w:rsidRPr="00BD7A84">
          <w:rPr>
            <w:rFonts w:ascii="Times New Roman" w:eastAsia="Times New Roman" w:hAnsi="Times New Roman" w:cs="Times New Roman"/>
            <w:color w:val="005EA5"/>
            <w:sz w:val="21"/>
            <w:szCs w:val="21"/>
            <w:lang w:val="en-US" w:eastAsia="en-GB"/>
          </w:rPr>
          <w:t>http://www.gov.uk/government/statistics/english-indices-of-deprivation-2015</w:t>
        </w:r>
      </w:hyperlink>
      <w:r w:rsidR="00BD7A84" w:rsidRPr="00BD7A84">
        <w:rPr>
          <w:rFonts w:ascii="Arial" w:eastAsia="Times New Roman" w:hAnsi="Arial" w:cs="Arial"/>
          <w:color w:val="333333"/>
          <w:sz w:val="21"/>
          <w:szCs w:val="21"/>
          <w:lang w:val="en-US" w:eastAsia="en-GB"/>
        </w:rPr>
        <w:t>.</w:t>
      </w:r>
      <w:r w:rsidR="00BD7A84" w:rsidRPr="00BD7A84">
        <w:rPr>
          <w:rFonts w:ascii="Arial" w:eastAsia="Times New Roman" w:hAnsi="Arial" w:cs="Arial"/>
          <w:b/>
          <w:bCs/>
          <w:color w:val="333333"/>
          <w:sz w:val="21"/>
          <w:szCs w:val="21"/>
          <w:lang w:val="en-US" w:eastAsia="en-GB"/>
        </w:rPr>
        <w:t xml:space="preserve"> </w:t>
      </w:r>
      <w:r>
        <w:rPr>
          <w:rFonts w:ascii="Arial" w:eastAsia="Times New Roman" w:hAnsi="Arial" w:cs="Arial"/>
          <w:b/>
          <w:bCs/>
          <w:color w:val="333333"/>
          <w:sz w:val="21"/>
          <w:szCs w:val="21"/>
          <w:lang w:val="en-US" w:eastAsia="en-GB"/>
        </w:rPr>
        <w:t xml:space="preserve">  </w:t>
      </w:r>
      <w:r w:rsidR="00BD7A84" w:rsidRPr="00BD7A84">
        <w:rPr>
          <w:rFonts w:ascii="Arial" w:eastAsia="Times New Roman" w:hAnsi="Arial" w:cs="Arial"/>
          <w:b/>
          <w:bCs/>
          <w:color w:val="333333"/>
          <w:sz w:val="21"/>
          <w:szCs w:val="21"/>
          <w:lang w:val="en-US" w:eastAsia="en-GB"/>
        </w:rPr>
        <w:t>It is recommended that the supporting documents are read to provide a better understanding of the data.</w:t>
      </w:r>
    </w:p>
    <w:p w:rsidR="001C2B49" w:rsidRDefault="001C2B49"/>
    <w:sectPr w:rsidR="001C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5DF"/>
    <w:multiLevelType w:val="multilevel"/>
    <w:tmpl w:val="917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84"/>
    <w:rsid w:val="001C2B49"/>
    <w:rsid w:val="007A5965"/>
    <w:rsid w:val="00817454"/>
    <w:rsid w:val="00BD7A84"/>
    <w:rsid w:val="00FA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A84"/>
    <w:pPr>
      <w:spacing w:before="300" w:after="150" w:line="240" w:lineRule="auto"/>
      <w:outlineLvl w:val="0"/>
    </w:pPr>
    <w:rPr>
      <w:rFonts w:ascii="Arial" w:eastAsia="Times New Roman" w:hAnsi="Arial" w:cs="Arial"/>
      <w:color w:val="000000"/>
      <w:kern w:val="36"/>
      <w:sz w:val="48"/>
      <w:szCs w:val="48"/>
      <w:lang w:eastAsia="en-GB"/>
    </w:rPr>
  </w:style>
  <w:style w:type="paragraph" w:styleId="Heading2">
    <w:name w:val="heading 2"/>
    <w:basedOn w:val="Normal"/>
    <w:link w:val="Heading2Char"/>
    <w:uiPriority w:val="9"/>
    <w:qFormat/>
    <w:rsid w:val="00BD7A84"/>
    <w:pPr>
      <w:spacing w:before="300" w:after="150" w:line="240" w:lineRule="auto"/>
      <w:outlineLvl w:val="1"/>
    </w:pPr>
    <w:rPr>
      <w:rFonts w:ascii="Arial" w:eastAsia="Times New Roman" w:hAnsi="Arial" w:cs="Arial"/>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A84"/>
    <w:rPr>
      <w:rFonts w:ascii="Arial" w:eastAsia="Times New Roman" w:hAnsi="Arial" w:cs="Arial"/>
      <w:color w:val="000000"/>
      <w:kern w:val="36"/>
      <w:sz w:val="48"/>
      <w:szCs w:val="48"/>
      <w:lang w:eastAsia="en-GB"/>
    </w:rPr>
  </w:style>
  <w:style w:type="character" w:customStyle="1" w:styleId="Heading2Char">
    <w:name w:val="Heading 2 Char"/>
    <w:basedOn w:val="DefaultParagraphFont"/>
    <w:link w:val="Heading2"/>
    <w:uiPriority w:val="9"/>
    <w:rsid w:val="00BD7A84"/>
    <w:rPr>
      <w:rFonts w:ascii="Arial" w:eastAsia="Times New Roman" w:hAnsi="Arial" w:cs="Arial"/>
      <w:color w:val="000000"/>
      <w:sz w:val="36"/>
      <w:szCs w:val="36"/>
      <w:lang w:eastAsia="en-GB"/>
    </w:rPr>
  </w:style>
  <w:style w:type="character" w:styleId="Hyperlink">
    <w:name w:val="Hyperlink"/>
    <w:basedOn w:val="DefaultParagraphFont"/>
    <w:uiPriority w:val="99"/>
    <w:unhideWhenUsed/>
    <w:rsid w:val="00BD7A84"/>
    <w:rPr>
      <w:strike w:val="0"/>
      <w:dstrike w:val="0"/>
      <w:color w:val="005EA5"/>
      <w:u w:val="none"/>
      <w:effect w:val="none"/>
      <w:shd w:val="clear" w:color="auto" w:fill="auto"/>
    </w:rPr>
  </w:style>
  <w:style w:type="character" w:styleId="Strong">
    <w:name w:val="Strong"/>
    <w:basedOn w:val="DefaultParagraphFont"/>
    <w:uiPriority w:val="22"/>
    <w:qFormat/>
    <w:rsid w:val="00BD7A84"/>
    <w:rPr>
      <w:b/>
      <w:bCs/>
    </w:rPr>
  </w:style>
  <w:style w:type="paragraph" w:styleId="NormalWeb">
    <w:name w:val="Normal (Web)"/>
    <w:basedOn w:val="Normal"/>
    <w:uiPriority w:val="99"/>
    <w:semiHidden/>
    <w:unhideWhenUsed/>
    <w:rsid w:val="00BD7A84"/>
    <w:pPr>
      <w:spacing w:after="150"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BD7A84"/>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A84"/>
    <w:pPr>
      <w:spacing w:before="300" w:after="150" w:line="240" w:lineRule="auto"/>
      <w:outlineLvl w:val="0"/>
    </w:pPr>
    <w:rPr>
      <w:rFonts w:ascii="Arial" w:eastAsia="Times New Roman" w:hAnsi="Arial" w:cs="Arial"/>
      <w:color w:val="000000"/>
      <w:kern w:val="36"/>
      <w:sz w:val="48"/>
      <w:szCs w:val="48"/>
      <w:lang w:eastAsia="en-GB"/>
    </w:rPr>
  </w:style>
  <w:style w:type="paragraph" w:styleId="Heading2">
    <w:name w:val="heading 2"/>
    <w:basedOn w:val="Normal"/>
    <w:link w:val="Heading2Char"/>
    <w:uiPriority w:val="9"/>
    <w:qFormat/>
    <w:rsid w:val="00BD7A84"/>
    <w:pPr>
      <w:spacing w:before="300" w:after="150" w:line="240" w:lineRule="auto"/>
      <w:outlineLvl w:val="1"/>
    </w:pPr>
    <w:rPr>
      <w:rFonts w:ascii="Arial" w:eastAsia="Times New Roman" w:hAnsi="Arial" w:cs="Arial"/>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A84"/>
    <w:rPr>
      <w:rFonts w:ascii="Arial" w:eastAsia="Times New Roman" w:hAnsi="Arial" w:cs="Arial"/>
      <w:color w:val="000000"/>
      <w:kern w:val="36"/>
      <w:sz w:val="48"/>
      <w:szCs w:val="48"/>
      <w:lang w:eastAsia="en-GB"/>
    </w:rPr>
  </w:style>
  <w:style w:type="character" w:customStyle="1" w:styleId="Heading2Char">
    <w:name w:val="Heading 2 Char"/>
    <w:basedOn w:val="DefaultParagraphFont"/>
    <w:link w:val="Heading2"/>
    <w:uiPriority w:val="9"/>
    <w:rsid w:val="00BD7A84"/>
    <w:rPr>
      <w:rFonts w:ascii="Arial" w:eastAsia="Times New Roman" w:hAnsi="Arial" w:cs="Arial"/>
      <w:color w:val="000000"/>
      <w:sz w:val="36"/>
      <w:szCs w:val="36"/>
      <w:lang w:eastAsia="en-GB"/>
    </w:rPr>
  </w:style>
  <w:style w:type="character" w:styleId="Hyperlink">
    <w:name w:val="Hyperlink"/>
    <w:basedOn w:val="DefaultParagraphFont"/>
    <w:uiPriority w:val="99"/>
    <w:unhideWhenUsed/>
    <w:rsid w:val="00BD7A84"/>
    <w:rPr>
      <w:strike w:val="0"/>
      <w:dstrike w:val="0"/>
      <w:color w:val="005EA5"/>
      <w:u w:val="none"/>
      <w:effect w:val="none"/>
      <w:shd w:val="clear" w:color="auto" w:fill="auto"/>
    </w:rPr>
  </w:style>
  <w:style w:type="character" w:styleId="Strong">
    <w:name w:val="Strong"/>
    <w:basedOn w:val="DefaultParagraphFont"/>
    <w:uiPriority w:val="22"/>
    <w:qFormat/>
    <w:rsid w:val="00BD7A84"/>
    <w:rPr>
      <w:b/>
      <w:bCs/>
    </w:rPr>
  </w:style>
  <w:style w:type="paragraph" w:styleId="NormalWeb">
    <w:name w:val="Normal (Web)"/>
    <w:basedOn w:val="Normal"/>
    <w:uiPriority w:val="99"/>
    <w:semiHidden/>
    <w:unhideWhenUsed/>
    <w:rsid w:val="00BD7A84"/>
    <w:pPr>
      <w:spacing w:after="150"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BD7A84"/>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9567">
      <w:bodyDiv w:val="1"/>
      <w:marLeft w:val="0"/>
      <w:marRight w:val="0"/>
      <w:marTop w:val="0"/>
      <w:marBottom w:val="0"/>
      <w:divBdr>
        <w:top w:val="none" w:sz="0" w:space="0" w:color="auto"/>
        <w:left w:val="none" w:sz="0" w:space="0" w:color="auto"/>
        <w:bottom w:val="none" w:sz="0" w:space="0" w:color="auto"/>
        <w:right w:val="none" w:sz="0" w:space="0" w:color="auto"/>
      </w:divBdr>
      <w:divsChild>
        <w:div w:id="1394156003">
          <w:marLeft w:val="0"/>
          <w:marRight w:val="0"/>
          <w:marTop w:val="0"/>
          <w:marBottom w:val="0"/>
          <w:divBdr>
            <w:top w:val="none" w:sz="0" w:space="0" w:color="auto"/>
            <w:left w:val="none" w:sz="0" w:space="0" w:color="auto"/>
            <w:bottom w:val="none" w:sz="0" w:space="0" w:color="auto"/>
            <w:right w:val="none" w:sz="0" w:space="0" w:color="auto"/>
          </w:divBdr>
          <w:divsChild>
            <w:div w:id="1914390079">
              <w:marLeft w:val="0"/>
              <w:marRight w:val="0"/>
              <w:marTop w:val="0"/>
              <w:marBottom w:val="0"/>
              <w:divBdr>
                <w:top w:val="none" w:sz="0" w:space="0" w:color="auto"/>
                <w:left w:val="none" w:sz="0" w:space="0" w:color="auto"/>
                <w:bottom w:val="none" w:sz="0" w:space="0" w:color="auto"/>
                <w:right w:val="none" w:sz="0" w:space="0" w:color="auto"/>
              </w:divBdr>
            </w:div>
            <w:div w:id="8739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statistics/english-indices-of-deprivation-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formance.businessintelligence@calderdal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xs18</dc:creator>
  <cp:lastModifiedBy>s149</cp:lastModifiedBy>
  <cp:revision>2</cp:revision>
  <dcterms:created xsi:type="dcterms:W3CDTF">2016-03-02T08:48:00Z</dcterms:created>
  <dcterms:modified xsi:type="dcterms:W3CDTF">2016-03-02T08:48:00Z</dcterms:modified>
</cp:coreProperties>
</file>