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D5C7" w14:textId="6D9C30B3" w:rsidR="00FC3F29" w:rsidRPr="00A54444" w:rsidRDefault="00FC3F29" w:rsidP="00FC3F29">
      <w:pPr>
        <w:pStyle w:val="Heading1"/>
      </w:pPr>
      <w:r w:rsidRPr="00A54444">
        <w:t xml:space="preserve">Census 2021 First Release results for Calderdale: </w:t>
      </w:r>
      <w:r>
        <w:t>Labour market and travel to work</w:t>
      </w:r>
    </w:p>
    <w:p w14:paraId="0B8589F6" w14:textId="77777777" w:rsidR="00606B1C" w:rsidRPr="00412C27" w:rsidRDefault="00606B1C" w:rsidP="00C35DE2">
      <w:pPr>
        <w:rPr>
          <w:rFonts w:ascii="Arial" w:hAnsi="Arial" w:cs="Arial"/>
        </w:rPr>
      </w:pPr>
    </w:p>
    <w:p w14:paraId="51406334" w14:textId="19D84893" w:rsidR="0001487D" w:rsidRPr="00412C27" w:rsidRDefault="0001487D" w:rsidP="00606B1C">
      <w:pPr>
        <w:pStyle w:val="Heading2"/>
      </w:pPr>
      <w:r w:rsidRPr="00412C27">
        <w:t>Background</w:t>
      </w:r>
    </w:p>
    <w:p w14:paraId="68008919" w14:textId="69F58644" w:rsidR="00E21088" w:rsidRPr="00412C27" w:rsidRDefault="00E21088" w:rsidP="0001487D">
      <w:pPr>
        <w:rPr>
          <w:rFonts w:ascii="Arial" w:hAnsi="Arial" w:cs="Arial"/>
        </w:rPr>
      </w:pPr>
      <w:r w:rsidRPr="00412C27">
        <w:rPr>
          <w:rFonts w:ascii="Arial" w:hAnsi="Arial" w:cs="Arial"/>
        </w:rPr>
        <w:t xml:space="preserve">The Office for National Statistics </w:t>
      </w:r>
      <w:r w:rsidR="00606B1C">
        <w:rPr>
          <w:rFonts w:ascii="Arial" w:hAnsi="Arial" w:cs="Arial"/>
        </w:rPr>
        <w:t>published</w:t>
      </w:r>
      <w:r w:rsidRPr="00412C27">
        <w:rPr>
          <w:rFonts w:ascii="Arial" w:hAnsi="Arial" w:cs="Arial"/>
        </w:rPr>
        <w:t xml:space="preserve"> its </w:t>
      </w:r>
      <w:r w:rsidR="000531E4">
        <w:rPr>
          <w:rFonts w:ascii="Arial" w:hAnsi="Arial" w:cs="Arial"/>
        </w:rPr>
        <w:t>fifth</w:t>
      </w:r>
      <w:r w:rsidRPr="00412C27">
        <w:rPr>
          <w:rFonts w:ascii="Arial" w:hAnsi="Arial" w:cs="Arial"/>
        </w:rPr>
        <w:t xml:space="preserve"> Census 2021 topic </w:t>
      </w:r>
      <w:r w:rsidR="002A4BAA" w:rsidRPr="00412C27">
        <w:rPr>
          <w:rFonts w:ascii="Arial" w:hAnsi="Arial" w:cs="Arial"/>
        </w:rPr>
        <w:t>summary</w:t>
      </w:r>
      <w:r w:rsidRPr="00412C27">
        <w:rPr>
          <w:rFonts w:ascii="Arial" w:hAnsi="Arial" w:cs="Arial"/>
        </w:rPr>
        <w:t xml:space="preserve"> “</w:t>
      </w:r>
      <w:r w:rsidR="00EF5BF3">
        <w:rPr>
          <w:rFonts w:ascii="Arial" w:hAnsi="Arial" w:cs="Arial"/>
        </w:rPr>
        <w:t>Labour market and travel to work</w:t>
      </w:r>
      <w:r w:rsidRPr="00412C27">
        <w:rPr>
          <w:rFonts w:ascii="Arial" w:hAnsi="Arial" w:cs="Arial"/>
        </w:rPr>
        <w:t xml:space="preserve">” on </w:t>
      </w:r>
      <w:r w:rsidR="00EF5BF3">
        <w:rPr>
          <w:rFonts w:ascii="Arial" w:hAnsi="Arial" w:cs="Arial"/>
        </w:rPr>
        <w:t>8 December</w:t>
      </w:r>
      <w:r w:rsidRPr="00412C27">
        <w:rPr>
          <w:rFonts w:ascii="Arial" w:hAnsi="Arial" w:cs="Arial"/>
        </w:rPr>
        <w:t xml:space="preserve"> 2022.  This follows an initial release of numbers of people and households for England and Wales, </w:t>
      </w:r>
      <w:r w:rsidR="002A4BAA" w:rsidRPr="00412C27">
        <w:rPr>
          <w:rFonts w:ascii="Arial" w:hAnsi="Arial" w:cs="Arial"/>
        </w:rPr>
        <w:t>regions,</w:t>
      </w:r>
      <w:r w:rsidRPr="00412C27">
        <w:rPr>
          <w:rFonts w:ascii="Arial" w:hAnsi="Arial" w:cs="Arial"/>
        </w:rPr>
        <w:t xml:space="preserve"> and local authority areas on 28</w:t>
      </w:r>
      <w:r w:rsidR="002A4BAA" w:rsidRPr="00412C27">
        <w:rPr>
          <w:rFonts w:ascii="Arial" w:hAnsi="Arial" w:cs="Arial"/>
          <w:vertAlign w:val="superscript"/>
        </w:rPr>
        <w:t xml:space="preserve"> </w:t>
      </w:r>
      <w:r w:rsidRPr="00412C27">
        <w:rPr>
          <w:rFonts w:ascii="Arial" w:hAnsi="Arial" w:cs="Arial"/>
        </w:rPr>
        <w:t>June 2022</w:t>
      </w:r>
      <w:r w:rsidR="002A4BAA" w:rsidRPr="00412C27">
        <w:rPr>
          <w:rFonts w:ascii="Arial" w:hAnsi="Arial" w:cs="Arial"/>
        </w:rPr>
        <w:t xml:space="preserve">, </w:t>
      </w:r>
      <w:r w:rsidR="00EF5BF3">
        <w:rPr>
          <w:rFonts w:ascii="Arial" w:hAnsi="Arial" w:cs="Arial"/>
        </w:rPr>
        <w:t>three</w:t>
      </w:r>
      <w:r w:rsidR="007749A9">
        <w:rPr>
          <w:rFonts w:ascii="Arial" w:hAnsi="Arial" w:cs="Arial"/>
        </w:rPr>
        <w:t xml:space="preserve"> topic</w:t>
      </w:r>
      <w:r w:rsidR="002A4BAA" w:rsidRPr="00412C27">
        <w:rPr>
          <w:rFonts w:ascii="Arial" w:hAnsi="Arial" w:cs="Arial"/>
        </w:rPr>
        <w:t xml:space="preserve"> summar</w:t>
      </w:r>
      <w:r w:rsidR="007749A9">
        <w:rPr>
          <w:rFonts w:ascii="Arial" w:hAnsi="Arial" w:cs="Arial"/>
        </w:rPr>
        <w:t>ies</w:t>
      </w:r>
      <w:r w:rsidR="002A4BAA" w:rsidRPr="00412C27">
        <w:rPr>
          <w:rFonts w:ascii="Arial" w:hAnsi="Arial" w:cs="Arial"/>
        </w:rPr>
        <w:t xml:space="preserve"> “Demography and Migration</w:t>
      </w:r>
      <w:r w:rsidR="00D92B7C" w:rsidRPr="00412C27">
        <w:rPr>
          <w:rFonts w:ascii="Arial" w:hAnsi="Arial" w:cs="Arial"/>
        </w:rPr>
        <w:t>”</w:t>
      </w:r>
      <w:r w:rsidR="00D92B7C">
        <w:rPr>
          <w:rFonts w:ascii="Arial" w:hAnsi="Arial" w:cs="Arial"/>
        </w:rPr>
        <w:t>, “</w:t>
      </w:r>
      <w:r w:rsidR="007749A9">
        <w:rPr>
          <w:rFonts w:ascii="Arial" w:hAnsi="Arial" w:cs="Arial"/>
        </w:rPr>
        <w:t>UK armed forces veterans”</w:t>
      </w:r>
      <w:r w:rsidR="00EF5BF3">
        <w:rPr>
          <w:rFonts w:ascii="Arial" w:hAnsi="Arial" w:cs="Arial"/>
        </w:rPr>
        <w:t xml:space="preserve"> and “Ethnic group, national identity, language and religion” </w:t>
      </w:r>
      <w:r w:rsidR="007749A9">
        <w:rPr>
          <w:rFonts w:ascii="Arial" w:hAnsi="Arial" w:cs="Arial"/>
        </w:rPr>
        <w:t xml:space="preserve">in </w:t>
      </w:r>
      <w:r w:rsidR="002A4BAA" w:rsidRPr="00412C27">
        <w:rPr>
          <w:rFonts w:ascii="Arial" w:hAnsi="Arial" w:cs="Arial"/>
        </w:rPr>
        <w:t>November</w:t>
      </w:r>
      <w:r w:rsidR="00EF5BF3">
        <w:rPr>
          <w:rFonts w:ascii="Arial" w:hAnsi="Arial" w:cs="Arial"/>
        </w:rPr>
        <w:t xml:space="preserve"> and “Welsh language” </w:t>
      </w:r>
      <w:r w:rsidR="000531E4">
        <w:rPr>
          <w:rFonts w:ascii="Arial" w:hAnsi="Arial" w:cs="Arial"/>
        </w:rPr>
        <w:t>on 6</w:t>
      </w:r>
      <w:r w:rsidR="00EF5BF3">
        <w:rPr>
          <w:rFonts w:ascii="Arial" w:hAnsi="Arial" w:cs="Arial"/>
        </w:rPr>
        <w:t xml:space="preserve"> December</w:t>
      </w:r>
      <w:r w:rsidR="002A4BAA" w:rsidRPr="00412C27">
        <w:rPr>
          <w:rFonts w:ascii="Arial" w:hAnsi="Arial" w:cs="Arial"/>
        </w:rPr>
        <w:t xml:space="preserve"> 2022</w:t>
      </w:r>
      <w:r w:rsidRPr="00412C27">
        <w:rPr>
          <w:rFonts w:ascii="Arial" w:hAnsi="Arial" w:cs="Arial"/>
        </w:rPr>
        <w:t>.</w:t>
      </w:r>
    </w:p>
    <w:p w14:paraId="3E093CCB" w14:textId="5500FB5E" w:rsidR="008216C6" w:rsidRPr="00412C27" w:rsidRDefault="008216C6" w:rsidP="0001487D">
      <w:pPr>
        <w:rPr>
          <w:rFonts w:ascii="Arial" w:hAnsi="Arial" w:cs="Arial"/>
        </w:rPr>
      </w:pPr>
    </w:p>
    <w:p w14:paraId="2766390E" w14:textId="77777777" w:rsidR="008216C6" w:rsidRPr="00412C27" w:rsidRDefault="008216C6" w:rsidP="00606B1C">
      <w:pPr>
        <w:pStyle w:val="Heading2"/>
      </w:pPr>
      <w:r w:rsidRPr="00412C27">
        <w:t>Introduction</w:t>
      </w:r>
    </w:p>
    <w:p w14:paraId="7EED4B99" w14:textId="76EBE996" w:rsidR="00F84114" w:rsidRDefault="005D7330" w:rsidP="008216C6">
      <w:pPr>
        <w:rPr>
          <w:rFonts w:ascii="Arial" w:hAnsi="Arial" w:cs="Arial"/>
        </w:rPr>
      </w:pPr>
      <w:r w:rsidRPr="00521E8D">
        <w:rPr>
          <w:rFonts w:ascii="Arial" w:hAnsi="Arial" w:cs="Arial"/>
        </w:rPr>
        <w:t xml:space="preserve">The </w:t>
      </w:r>
      <w:r w:rsidR="00B20CE6">
        <w:rPr>
          <w:rFonts w:ascii="Arial" w:hAnsi="Arial" w:cs="Arial"/>
        </w:rPr>
        <w:t xml:space="preserve">ONS </w:t>
      </w:r>
      <w:r w:rsidRPr="00521E8D">
        <w:rPr>
          <w:rFonts w:ascii="Arial" w:hAnsi="Arial" w:cs="Arial"/>
        </w:rPr>
        <w:t xml:space="preserve">topic </w:t>
      </w:r>
      <w:r w:rsidRPr="005349AD">
        <w:rPr>
          <w:rFonts w:ascii="Arial" w:hAnsi="Arial" w:cs="Arial"/>
        </w:rPr>
        <w:t xml:space="preserve">summary </w:t>
      </w:r>
      <w:r w:rsidR="008216C6" w:rsidRPr="005349AD">
        <w:rPr>
          <w:rFonts w:ascii="Arial" w:hAnsi="Arial" w:cs="Arial"/>
        </w:rPr>
        <w:t>“</w:t>
      </w:r>
      <w:hyperlink r:id="rId7" w:history="1">
        <w:r w:rsidR="00EF5BF3" w:rsidRPr="005349AD">
          <w:rPr>
            <w:rStyle w:val="Hyperlink"/>
            <w:rFonts w:ascii="Arial" w:hAnsi="Arial" w:cs="Arial"/>
          </w:rPr>
          <w:t>Labour market and travel to work</w:t>
        </w:r>
      </w:hyperlink>
      <w:r w:rsidR="008216C6" w:rsidRPr="005349AD">
        <w:rPr>
          <w:rFonts w:ascii="Arial" w:hAnsi="Arial" w:cs="Arial"/>
        </w:rPr>
        <w:t>”</w:t>
      </w:r>
      <w:r w:rsidR="004E77B5" w:rsidRPr="005349AD">
        <w:rPr>
          <w:rFonts w:ascii="Arial" w:hAnsi="Arial" w:cs="Arial"/>
        </w:rPr>
        <w:t>,</w:t>
      </w:r>
      <w:r w:rsidR="008216C6" w:rsidRPr="005349AD">
        <w:rPr>
          <w:rFonts w:ascii="Arial" w:hAnsi="Arial" w:cs="Arial"/>
        </w:rPr>
        <w:t xml:space="preserve"> </w:t>
      </w:r>
      <w:r w:rsidRPr="005349AD">
        <w:rPr>
          <w:rFonts w:ascii="Arial" w:hAnsi="Arial" w:cs="Arial"/>
        </w:rPr>
        <w:t>sets out</w:t>
      </w:r>
      <w:r w:rsidR="00F84114" w:rsidRPr="005349AD">
        <w:rPr>
          <w:rFonts w:ascii="Arial" w:hAnsi="Arial" w:cs="Arial"/>
        </w:rPr>
        <w:t xml:space="preserve"> initial</w:t>
      </w:r>
      <w:r w:rsidR="00F84114">
        <w:rPr>
          <w:rFonts w:ascii="Arial" w:hAnsi="Arial" w:cs="Arial"/>
        </w:rPr>
        <w:t xml:space="preserve"> </w:t>
      </w:r>
      <w:r w:rsidRPr="00521E8D">
        <w:rPr>
          <w:rFonts w:ascii="Arial" w:hAnsi="Arial" w:cs="Arial"/>
        </w:rPr>
        <w:t xml:space="preserve">information about </w:t>
      </w:r>
      <w:r w:rsidR="00F84114">
        <w:rPr>
          <w:rFonts w:ascii="Arial" w:hAnsi="Arial" w:cs="Arial"/>
        </w:rPr>
        <w:t>Calderdale resident</w:t>
      </w:r>
      <w:r w:rsidR="000378A0">
        <w:rPr>
          <w:rFonts w:ascii="Arial" w:hAnsi="Arial" w:cs="Arial"/>
        </w:rPr>
        <w:t>s employment status, industries worked in, occupations and typical hours worked per week, plus information about travel to work</w:t>
      </w:r>
      <w:r w:rsidR="00B20CE6">
        <w:rPr>
          <w:rFonts w:ascii="Arial" w:hAnsi="Arial" w:cs="Arial"/>
        </w:rPr>
        <w:t xml:space="preserve"> patterns</w:t>
      </w:r>
      <w:r w:rsidR="000378A0">
        <w:rPr>
          <w:rFonts w:ascii="Arial" w:hAnsi="Arial" w:cs="Arial"/>
        </w:rPr>
        <w:t xml:space="preserve"> </w:t>
      </w:r>
      <w:r w:rsidR="00B20CE6">
        <w:rPr>
          <w:rFonts w:ascii="Arial" w:hAnsi="Arial" w:cs="Arial"/>
        </w:rPr>
        <w:t>for Census 2021.</w:t>
      </w:r>
      <w:r w:rsidR="000378A0">
        <w:rPr>
          <w:rFonts w:ascii="Arial" w:hAnsi="Arial" w:cs="Arial"/>
        </w:rPr>
        <w:t xml:space="preserve">  </w:t>
      </w:r>
    </w:p>
    <w:p w14:paraId="66138B3D" w14:textId="65A52353" w:rsidR="005349AD" w:rsidRPr="00521E8D" w:rsidRDefault="00431E55" w:rsidP="005349AD">
      <w:pPr>
        <w:rPr>
          <w:rFonts w:ascii="Arial" w:hAnsi="Arial" w:cs="Arial"/>
        </w:rPr>
      </w:pPr>
      <w:r w:rsidRPr="00521E8D">
        <w:rPr>
          <w:rFonts w:ascii="Arial" w:hAnsi="Arial" w:cs="Arial"/>
        </w:rPr>
        <w:t xml:space="preserve">There </w:t>
      </w:r>
      <w:r w:rsidR="004E77B5" w:rsidRPr="00521E8D">
        <w:rPr>
          <w:rFonts w:ascii="Arial" w:hAnsi="Arial" w:cs="Arial"/>
        </w:rPr>
        <w:t>are</w:t>
      </w:r>
      <w:r w:rsidRPr="00521E8D">
        <w:rPr>
          <w:rFonts w:ascii="Arial" w:hAnsi="Arial" w:cs="Arial"/>
        </w:rPr>
        <w:t xml:space="preserve"> </w:t>
      </w:r>
      <w:r w:rsidR="00EF5BF3">
        <w:rPr>
          <w:rFonts w:ascii="Arial" w:hAnsi="Arial" w:cs="Arial"/>
        </w:rPr>
        <w:t>nine</w:t>
      </w:r>
      <w:r w:rsidRPr="00521E8D">
        <w:rPr>
          <w:rFonts w:ascii="Arial" w:hAnsi="Arial" w:cs="Arial"/>
        </w:rPr>
        <w:t xml:space="preserve"> data sets linked to the summary</w:t>
      </w:r>
      <w:r w:rsidR="000378A0">
        <w:rPr>
          <w:rFonts w:ascii="Arial" w:hAnsi="Arial" w:cs="Arial"/>
        </w:rPr>
        <w:t>, seven are about the labour market and two about travelling to work</w:t>
      </w:r>
      <w:r w:rsidRPr="00521E8D">
        <w:rPr>
          <w:rFonts w:ascii="Arial" w:hAnsi="Arial" w:cs="Arial"/>
        </w:rPr>
        <w:t xml:space="preserve">.  These are listed in Appendix </w:t>
      </w:r>
      <w:r w:rsidR="00054220" w:rsidRPr="00521E8D">
        <w:rPr>
          <w:rFonts w:ascii="Arial" w:hAnsi="Arial" w:cs="Arial"/>
        </w:rPr>
        <w:t>table 1</w:t>
      </w:r>
      <w:r w:rsidR="00D9744F">
        <w:rPr>
          <w:rFonts w:ascii="Arial" w:hAnsi="Arial" w:cs="Arial"/>
        </w:rPr>
        <w:t>a</w:t>
      </w:r>
      <w:r w:rsidR="00054220" w:rsidRPr="00521E8D">
        <w:rPr>
          <w:rFonts w:ascii="Arial" w:hAnsi="Arial" w:cs="Arial"/>
        </w:rPr>
        <w:t>.</w:t>
      </w:r>
      <w:r w:rsidR="005349AD">
        <w:rPr>
          <w:rFonts w:ascii="Arial" w:hAnsi="Arial" w:cs="Arial"/>
        </w:rPr>
        <w:t xml:space="preserve">  </w:t>
      </w:r>
    </w:p>
    <w:p w14:paraId="0EE537CE" w14:textId="64784FD2" w:rsidR="003D61D2" w:rsidRDefault="003D61D2" w:rsidP="000148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three articles on economic activity status, travel to work, and industry and occupation results and one article comparing Census 2021 and Labour force estimates for </w:t>
      </w:r>
      <w:r w:rsidR="00A26C13">
        <w:rPr>
          <w:rFonts w:ascii="Arial" w:hAnsi="Arial" w:cs="Arial"/>
        </w:rPr>
        <w:t>M</w:t>
      </w:r>
      <w:r>
        <w:rPr>
          <w:rFonts w:ascii="Arial" w:hAnsi="Arial" w:cs="Arial"/>
        </w:rPr>
        <w:t>arch 2021.</w:t>
      </w:r>
    </w:p>
    <w:p w14:paraId="178831FC" w14:textId="3E8AEE68" w:rsidR="000378A0" w:rsidRDefault="000378A0" w:rsidP="000378A0">
      <w:pPr>
        <w:rPr>
          <w:rFonts w:ascii="Arial" w:hAnsi="Arial" w:cs="Arial"/>
        </w:rPr>
      </w:pPr>
      <w:r>
        <w:rPr>
          <w:rFonts w:ascii="Arial" w:hAnsi="Arial" w:cs="Arial"/>
        </w:rPr>
        <w:t>Census 2021 day was during a Covid pandemic lockdown</w:t>
      </w:r>
      <w:r w:rsidR="001F0666">
        <w:rPr>
          <w:rFonts w:ascii="Arial" w:hAnsi="Arial" w:cs="Arial"/>
        </w:rPr>
        <w:t xml:space="preserve">.  ONS urge caution when using these data sets for planning purposes.  </w:t>
      </w:r>
      <w:r w:rsidR="00151639">
        <w:rPr>
          <w:rFonts w:ascii="Arial" w:hAnsi="Arial" w:cs="Arial"/>
        </w:rPr>
        <w:t xml:space="preserve">For </w:t>
      </w:r>
      <w:r w:rsidR="00B20CE6">
        <w:rPr>
          <w:rFonts w:ascii="Arial" w:hAnsi="Arial" w:cs="Arial"/>
        </w:rPr>
        <w:t>example,</w:t>
      </w:r>
      <w:r w:rsidR="00151639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 xml:space="preserve">ravel to work data is likely to be very different to pre and post-pandemic working patterns.  </w:t>
      </w:r>
    </w:p>
    <w:p w14:paraId="7168FC08" w14:textId="23492BC8" w:rsidR="0007386A" w:rsidRDefault="00522EF2" w:rsidP="0007386A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Summary results </w:t>
      </w:r>
      <w:r w:rsidRPr="000206B0">
        <w:rPr>
          <w:rFonts w:ascii="Arial" w:eastAsia="Times New Roman" w:hAnsi="Arial" w:cs="Arial"/>
          <w:color w:val="000000" w:themeColor="text1"/>
          <w:lang w:eastAsia="en-GB"/>
        </w:rPr>
        <w:t xml:space="preserve">for </w:t>
      </w:r>
      <w:r w:rsidR="005349AD">
        <w:rPr>
          <w:rFonts w:ascii="Arial" w:eastAsia="Times New Roman" w:hAnsi="Arial" w:cs="Arial"/>
          <w:color w:val="000000" w:themeColor="text1"/>
          <w:lang w:eastAsia="en-GB"/>
        </w:rPr>
        <w:t>seven</w:t>
      </w:r>
      <w:r w:rsidRPr="000206B0">
        <w:rPr>
          <w:rFonts w:ascii="Arial" w:eastAsia="Times New Roman" w:hAnsi="Arial" w:cs="Arial"/>
          <w:color w:val="000000" w:themeColor="text1"/>
          <w:lang w:eastAsia="en-GB"/>
        </w:rPr>
        <w:t xml:space="preserve"> of </w:t>
      </w:r>
      <w:r w:rsidR="00B20CE6">
        <w:rPr>
          <w:rFonts w:ascii="Arial" w:eastAsia="Times New Roman" w:hAnsi="Arial" w:cs="Arial"/>
          <w:color w:val="000000" w:themeColor="text1"/>
          <w:lang w:eastAsia="en-GB"/>
        </w:rPr>
        <w:t>the</w:t>
      </w:r>
      <w:r>
        <w:rPr>
          <w:rFonts w:ascii="Arial" w:eastAsia="Times New Roman" w:hAnsi="Arial" w:cs="Arial"/>
          <w:color w:val="000000"/>
          <w:lang w:eastAsia="en-GB"/>
        </w:rPr>
        <w:t xml:space="preserve"> data sets are set out in the Appendix.  </w:t>
      </w:r>
      <w:r w:rsidR="0007386A">
        <w:rPr>
          <w:rFonts w:ascii="Arial" w:eastAsia="Times New Roman" w:hAnsi="Arial" w:cs="Arial"/>
          <w:color w:val="000000"/>
          <w:lang w:eastAsia="en-GB"/>
        </w:rPr>
        <w:t xml:space="preserve">All results can be viewed through the </w:t>
      </w:r>
      <w:hyperlink r:id="rId8" w:history="1">
        <w:r w:rsidR="0007386A" w:rsidRPr="0050152C">
          <w:rPr>
            <w:rStyle w:val="Hyperlink"/>
            <w:rFonts w:ascii="Arial" w:eastAsia="Times New Roman" w:hAnsi="Arial" w:cs="Arial"/>
            <w:lang w:eastAsia="en-GB"/>
          </w:rPr>
          <w:t>ONS Census Maps visualisation tool</w:t>
        </w:r>
      </w:hyperlink>
      <w:r w:rsidR="0007386A">
        <w:rPr>
          <w:rFonts w:ascii="Arial" w:eastAsia="Times New Roman" w:hAnsi="Arial" w:cs="Arial"/>
          <w:color w:val="000000"/>
          <w:lang w:eastAsia="en-GB"/>
        </w:rPr>
        <w:t xml:space="preserve">.  Calderdale results can </w:t>
      </w:r>
      <w:r w:rsidR="00622080">
        <w:rPr>
          <w:rFonts w:ascii="Arial" w:eastAsia="Times New Roman" w:hAnsi="Arial" w:cs="Arial"/>
          <w:color w:val="000000"/>
          <w:lang w:eastAsia="en-GB"/>
        </w:rPr>
        <w:t xml:space="preserve">also </w:t>
      </w:r>
      <w:r w:rsidR="0007386A">
        <w:rPr>
          <w:rFonts w:ascii="Arial" w:eastAsia="Times New Roman" w:hAnsi="Arial" w:cs="Arial"/>
          <w:color w:val="000000"/>
          <w:lang w:eastAsia="en-GB"/>
        </w:rPr>
        <w:t xml:space="preserve">be viewed in the </w:t>
      </w:r>
      <w:hyperlink r:id="rId9" w:history="1">
        <w:r w:rsidR="0007386A" w:rsidRPr="0050152C">
          <w:rPr>
            <w:rStyle w:val="Hyperlink"/>
            <w:rFonts w:ascii="Arial" w:eastAsia="Times New Roman" w:hAnsi="Arial" w:cs="Arial"/>
            <w:lang w:eastAsia="en-GB"/>
          </w:rPr>
          <w:t>ONS 2021 Census Area Profile tool</w:t>
        </w:r>
      </w:hyperlink>
      <w:r w:rsidR="00622080">
        <w:rPr>
          <w:rFonts w:ascii="Arial" w:eastAsia="Times New Roman" w:hAnsi="Arial" w:cs="Arial"/>
          <w:color w:val="000000"/>
          <w:lang w:eastAsia="en-GB"/>
        </w:rPr>
        <w:t>.  T</w:t>
      </w:r>
      <w:r w:rsidR="0007386A">
        <w:rPr>
          <w:rFonts w:ascii="Arial" w:eastAsia="Times New Roman" w:hAnsi="Arial" w:cs="Arial"/>
          <w:color w:val="000000"/>
          <w:lang w:eastAsia="en-GB"/>
        </w:rPr>
        <w:t>he article “</w:t>
      </w:r>
      <w:hyperlink r:id="rId10" w:history="1">
        <w:r w:rsidR="0007386A" w:rsidRPr="00385E1E">
          <w:rPr>
            <w:rStyle w:val="Hyperlink"/>
            <w:rFonts w:ascii="Arial" w:eastAsia="Times New Roman" w:hAnsi="Arial" w:cs="Arial"/>
            <w:lang w:eastAsia="en-GB"/>
          </w:rPr>
          <w:t>How has your area changed in the last 10 years</w:t>
        </w:r>
      </w:hyperlink>
      <w:r w:rsidR="0007386A">
        <w:rPr>
          <w:rFonts w:ascii="Arial" w:eastAsia="Times New Roman" w:hAnsi="Arial" w:cs="Arial"/>
          <w:color w:val="000000"/>
          <w:lang w:eastAsia="en-GB"/>
        </w:rPr>
        <w:t>” provides an</w:t>
      </w:r>
      <w:r w:rsidR="00383948">
        <w:rPr>
          <w:rFonts w:ascii="Arial" w:eastAsia="Times New Roman" w:hAnsi="Arial" w:cs="Arial"/>
          <w:color w:val="000000"/>
          <w:lang w:eastAsia="en-GB"/>
        </w:rPr>
        <w:t xml:space="preserve"> overview of change since Census 2011.</w:t>
      </w:r>
    </w:p>
    <w:p w14:paraId="7DCFECD1" w14:textId="47F30E93" w:rsidR="00012041" w:rsidRPr="00521E8D" w:rsidRDefault="00A77C4C" w:rsidP="00012041">
      <w:pPr>
        <w:rPr>
          <w:rFonts w:ascii="Arial" w:hAnsi="Arial" w:cs="Arial"/>
        </w:rPr>
      </w:pPr>
      <w:r>
        <w:rPr>
          <w:rFonts w:ascii="Arial" w:hAnsi="Arial" w:cs="Arial"/>
        </w:rPr>
        <w:t>Ward estimates will be published on 30</w:t>
      </w:r>
      <w:r w:rsidR="00012041">
        <w:rPr>
          <w:rFonts w:ascii="Arial" w:hAnsi="Arial" w:cs="Arial"/>
        </w:rPr>
        <w:t xml:space="preserve"> January 2023</w:t>
      </w:r>
      <w:r w:rsidR="00012041" w:rsidRPr="00521E8D">
        <w:rPr>
          <w:rFonts w:ascii="Arial" w:hAnsi="Arial" w:cs="Arial"/>
        </w:rPr>
        <w:t>.</w:t>
      </w:r>
    </w:p>
    <w:p w14:paraId="261535FC" w14:textId="30F5487F" w:rsidR="005349AD" w:rsidRDefault="005349AD">
      <w:pPr>
        <w:rPr>
          <w:rFonts w:ascii="Arial" w:hAnsi="Arial" w:cs="Arial"/>
          <w:b/>
          <w:bCs/>
        </w:rPr>
      </w:pPr>
    </w:p>
    <w:p w14:paraId="2917B65D" w14:textId="017291F4" w:rsidR="005F38D5" w:rsidRDefault="005349AD" w:rsidP="005349AD">
      <w:pPr>
        <w:pStyle w:val="Heading2"/>
      </w:pPr>
      <w:r>
        <w:t>Key messages</w:t>
      </w:r>
    </w:p>
    <w:p w14:paraId="729CD4FB" w14:textId="4989A39F" w:rsidR="005349AD" w:rsidRDefault="005349AD" w:rsidP="005349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Census 2021 found 56% of Calderdale residents aged 16 and older were in employment a week before </w:t>
      </w:r>
      <w:r w:rsidR="0093067F">
        <w:rPr>
          <w:rFonts w:ascii="Arial" w:hAnsi="Arial" w:cs="Arial"/>
        </w:rPr>
        <w:t>Census Day</w:t>
      </w:r>
      <w:r>
        <w:rPr>
          <w:rFonts w:ascii="Arial" w:hAnsi="Arial" w:cs="Arial"/>
        </w:rPr>
        <w:t>.  It was 55% for West Yorkshire and 57% for England in Census 2021, and 5</w:t>
      </w:r>
      <w:r w:rsidR="006331AC">
        <w:rPr>
          <w:rFonts w:ascii="Arial" w:hAnsi="Arial" w:cs="Arial"/>
        </w:rPr>
        <w:t>9</w:t>
      </w:r>
      <w:r>
        <w:rPr>
          <w:rFonts w:ascii="Arial" w:hAnsi="Arial" w:cs="Arial"/>
        </w:rPr>
        <w:t>% for Calderdale in Census 2011.  See Appendix table 2a for more information.</w:t>
      </w:r>
    </w:p>
    <w:p w14:paraId="1F540C92" w14:textId="359264D1" w:rsidR="005349AD" w:rsidRDefault="005349AD" w:rsidP="005349AD">
      <w:pPr>
        <w:rPr>
          <w:rFonts w:ascii="Arial" w:hAnsi="Arial" w:cs="Arial"/>
        </w:rPr>
      </w:pPr>
      <w:r w:rsidRPr="00A63D88">
        <w:rPr>
          <w:rFonts w:ascii="Arial" w:hAnsi="Arial" w:cs="Arial"/>
        </w:rPr>
        <w:t xml:space="preserve">The top five industries for employment in </w:t>
      </w:r>
      <w:r>
        <w:rPr>
          <w:rFonts w:ascii="Arial" w:hAnsi="Arial" w:cs="Arial"/>
        </w:rPr>
        <w:t>Census 2021</w:t>
      </w:r>
      <w:r w:rsidRPr="00A63D88">
        <w:rPr>
          <w:rFonts w:ascii="Arial" w:hAnsi="Arial" w:cs="Arial"/>
        </w:rPr>
        <w:t xml:space="preserve"> were Wholesale and retail (15%), Human health and social work (15%), Education (11%), Manufacturing (10%) and Construction (10%).</w:t>
      </w:r>
      <w:r>
        <w:rPr>
          <w:rFonts w:ascii="Arial" w:hAnsi="Arial" w:cs="Arial"/>
        </w:rPr>
        <w:t xml:space="preserve"> See Appendix table 3a for more information.</w:t>
      </w:r>
    </w:p>
    <w:p w14:paraId="51257CC9" w14:textId="77777777" w:rsidR="005349AD" w:rsidRDefault="005349AD" w:rsidP="005349AD">
      <w:pPr>
        <w:rPr>
          <w:rFonts w:ascii="Arial" w:hAnsi="Arial" w:cs="Arial"/>
        </w:rPr>
      </w:pPr>
      <w:r>
        <w:rPr>
          <w:rFonts w:ascii="Arial" w:hAnsi="Arial" w:cs="Arial"/>
        </w:rPr>
        <w:t>The proportion of Calderdale residents aged 16 and over who were “Small employers and own account workers” increased from 9.5% in Census 2011 to 10.5% in Census 2021.  It was 9.1% for West Yorkshire, and 10.6% for England in Census 2021.  See Appendix table 3c for more information.</w:t>
      </w:r>
    </w:p>
    <w:p w14:paraId="2355ED86" w14:textId="1FCC42F1" w:rsidR="005349AD" w:rsidRPr="005349AD" w:rsidRDefault="005349AD" w:rsidP="005349AD">
      <w:r>
        <w:rPr>
          <w:rFonts w:ascii="Arial" w:hAnsi="Arial" w:cs="Arial"/>
        </w:rPr>
        <w:lastRenderedPageBreak/>
        <w:t xml:space="preserve">29% of Calderdale residents aged 16 and older who were in employment worked at home on </w:t>
      </w:r>
      <w:r w:rsidR="0093067F">
        <w:rPr>
          <w:rFonts w:ascii="Arial" w:hAnsi="Arial" w:cs="Arial"/>
        </w:rPr>
        <w:t>Census Day</w:t>
      </w:r>
      <w:r>
        <w:rPr>
          <w:rFonts w:ascii="Arial" w:hAnsi="Arial" w:cs="Arial"/>
        </w:rPr>
        <w:t xml:space="preserve"> in March 2021.  It was 28% for West Yorkshire and 32% for England in Census 2021, and 5% for Calderdale in Census 2011.  See Appendix table 4a for more information.</w:t>
      </w:r>
    </w:p>
    <w:p w14:paraId="1766A6BB" w14:textId="77777777" w:rsidR="005349AD" w:rsidRPr="00412C27" w:rsidRDefault="005349AD">
      <w:pPr>
        <w:rPr>
          <w:rFonts w:ascii="Arial" w:hAnsi="Arial" w:cs="Arial"/>
          <w:b/>
          <w:bCs/>
        </w:rPr>
      </w:pPr>
    </w:p>
    <w:p w14:paraId="32CB4DD3" w14:textId="05A38824" w:rsidR="005F38D5" w:rsidRPr="00412C27" w:rsidRDefault="00F9059C" w:rsidP="0033447F">
      <w:pPr>
        <w:pStyle w:val="Heading2"/>
        <w:rPr>
          <w:rFonts w:cs="Arial"/>
        </w:rPr>
      </w:pPr>
      <w:r>
        <w:rPr>
          <w:rFonts w:cs="Arial"/>
        </w:rPr>
        <w:t>Labour market</w:t>
      </w:r>
    </w:p>
    <w:p w14:paraId="7EF82503" w14:textId="00528C06" w:rsidR="00205A87" w:rsidRDefault="00205A87" w:rsidP="0088181C">
      <w:pPr>
        <w:rPr>
          <w:rFonts w:ascii="Arial" w:hAnsi="Arial" w:cs="Arial"/>
        </w:rPr>
      </w:pPr>
      <w:r>
        <w:rPr>
          <w:rFonts w:ascii="Arial" w:hAnsi="Arial" w:cs="Arial"/>
        </w:rPr>
        <w:t>The ONS article “</w:t>
      </w:r>
      <w:hyperlink r:id="rId11" w:history="1">
        <w:r w:rsidR="001F0666">
          <w:rPr>
            <w:rStyle w:val="Hyperlink"/>
            <w:rFonts w:ascii="Arial" w:hAnsi="Arial" w:cs="Arial"/>
          </w:rPr>
          <w:t>Economic activity status</w:t>
        </w:r>
        <w:r w:rsidRPr="00205A87">
          <w:rPr>
            <w:rStyle w:val="Hyperlink"/>
            <w:rFonts w:ascii="Arial" w:hAnsi="Arial" w:cs="Arial"/>
          </w:rPr>
          <w:t>: England Wales: Census 2021</w:t>
        </w:r>
      </w:hyperlink>
      <w:r>
        <w:rPr>
          <w:rFonts w:ascii="Arial" w:hAnsi="Arial" w:cs="Arial"/>
        </w:rPr>
        <w:t xml:space="preserve">” provides an overview of how information on </w:t>
      </w:r>
      <w:r w:rsidR="00D9744F">
        <w:rPr>
          <w:rFonts w:ascii="Arial" w:hAnsi="Arial" w:cs="Arial"/>
        </w:rPr>
        <w:t>economic activity</w:t>
      </w:r>
      <w:r>
        <w:rPr>
          <w:rFonts w:ascii="Arial" w:hAnsi="Arial" w:cs="Arial"/>
        </w:rPr>
        <w:t xml:space="preserve"> is reported in Census 2021.</w:t>
      </w:r>
    </w:p>
    <w:p w14:paraId="5239384D" w14:textId="638F16F5" w:rsidR="001B3F8E" w:rsidRPr="00622080" w:rsidRDefault="00D2189B" w:rsidP="0062208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22080">
        <w:rPr>
          <w:rFonts w:ascii="Arial" w:hAnsi="Arial" w:cs="Arial"/>
        </w:rPr>
        <w:t>C</w:t>
      </w:r>
      <w:r w:rsidR="00FC3F29" w:rsidRPr="00622080">
        <w:rPr>
          <w:rFonts w:ascii="Arial" w:hAnsi="Arial" w:cs="Arial"/>
        </w:rPr>
        <w:t xml:space="preserve">ensus 2021 found </w:t>
      </w:r>
      <w:r w:rsidR="00DB3BFC" w:rsidRPr="00622080">
        <w:rPr>
          <w:rFonts w:ascii="Arial" w:hAnsi="Arial" w:cs="Arial"/>
        </w:rPr>
        <w:t>56</w:t>
      </w:r>
      <w:r w:rsidR="0088181C" w:rsidRPr="00622080">
        <w:rPr>
          <w:rFonts w:ascii="Arial" w:hAnsi="Arial" w:cs="Arial"/>
        </w:rPr>
        <w:t>% o</w:t>
      </w:r>
      <w:r w:rsidR="000413F1" w:rsidRPr="00622080">
        <w:rPr>
          <w:rFonts w:ascii="Arial" w:hAnsi="Arial" w:cs="Arial"/>
        </w:rPr>
        <w:t xml:space="preserve">f Calderdale residents </w:t>
      </w:r>
      <w:r w:rsidR="00DB3BFC" w:rsidRPr="00622080">
        <w:rPr>
          <w:rFonts w:ascii="Arial" w:hAnsi="Arial" w:cs="Arial"/>
        </w:rPr>
        <w:t>aged 16 and older were in employment</w:t>
      </w:r>
      <w:r w:rsidR="00FC3F29" w:rsidRPr="00622080">
        <w:rPr>
          <w:rFonts w:ascii="Arial" w:hAnsi="Arial" w:cs="Arial"/>
        </w:rPr>
        <w:t xml:space="preserve"> a week before </w:t>
      </w:r>
      <w:r w:rsidR="0093067F" w:rsidRPr="00622080">
        <w:rPr>
          <w:rFonts w:ascii="Arial" w:hAnsi="Arial" w:cs="Arial"/>
        </w:rPr>
        <w:t>Census Day</w:t>
      </w:r>
      <w:r w:rsidR="00DB3BFC" w:rsidRPr="00622080">
        <w:rPr>
          <w:rFonts w:ascii="Arial" w:hAnsi="Arial" w:cs="Arial"/>
        </w:rPr>
        <w:t>.</w:t>
      </w:r>
      <w:r w:rsidR="001B3F8E" w:rsidRPr="00622080">
        <w:rPr>
          <w:rFonts w:ascii="Arial" w:hAnsi="Arial" w:cs="Arial"/>
        </w:rPr>
        <w:t xml:space="preserve">  </w:t>
      </w:r>
      <w:r w:rsidR="00CE1ED7" w:rsidRPr="00622080">
        <w:rPr>
          <w:rFonts w:ascii="Arial" w:hAnsi="Arial" w:cs="Arial"/>
        </w:rPr>
        <w:t>It was</w:t>
      </w:r>
      <w:r w:rsidR="001B3F8E" w:rsidRPr="00622080">
        <w:rPr>
          <w:rFonts w:ascii="Arial" w:hAnsi="Arial" w:cs="Arial"/>
        </w:rPr>
        <w:t xml:space="preserve"> </w:t>
      </w:r>
      <w:r w:rsidR="00DB3BFC" w:rsidRPr="00622080">
        <w:rPr>
          <w:rFonts w:ascii="Arial" w:hAnsi="Arial" w:cs="Arial"/>
        </w:rPr>
        <w:t>55</w:t>
      </w:r>
      <w:r w:rsidR="00D717AA" w:rsidRPr="00622080">
        <w:rPr>
          <w:rFonts w:ascii="Arial" w:hAnsi="Arial" w:cs="Arial"/>
        </w:rPr>
        <w:t xml:space="preserve">% for West Yorkshire and </w:t>
      </w:r>
      <w:r w:rsidR="00DB3BFC" w:rsidRPr="00622080">
        <w:rPr>
          <w:rFonts w:ascii="Arial" w:hAnsi="Arial" w:cs="Arial"/>
        </w:rPr>
        <w:t>57</w:t>
      </w:r>
      <w:r w:rsidR="00D717AA" w:rsidRPr="00622080">
        <w:rPr>
          <w:rFonts w:ascii="Arial" w:hAnsi="Arial" w:cs="Arial"/>
        </w:rPr>
        <w:t xml:space="preserve">% for England </w:t>
      </w:r>
      <w:r w:rsidR="00CE1ED7" w:rsidRPr="00622080">
        <w:rPr>
          <w:rFonts w:ascii="Arial" w:hAnsi="Arial" w:cs="Arial"/>
        </w:rPr>
        <w:t>in Census 2021</w:t>
      </w:r>
      <w:r w:rsidR="00151639" w:rsidRPr="00622080">
        <w:rPr>
          <w:rFonts w:ascii="Arial" w:hAnsi="Arial" w:cs="Arial"/>
        </w:rPr>
        <w:t>, and 5</w:t>
      </w:r>
      <w:r w:rsidR="006331AC">
        <w:rPr>
          <w:rFonts w:ascii="Arial" w:hAnsi="Arial" w:cs="Arial"/>
        </w:rPr>
        <w:t>9</w:t>
      </w:r>
      <w:r w:rsidR="00151639" w:rsidRPr="00622080">
        <w:rPr>
          <w:rFonts w:ascii="Arial" w:hAnsi="Arial" w:cs="Arial"/>
        </w:rPr>
        <w:t>% for Calderdale in Census 2011</w:t>
      </w:r>
      <w:r w:rsidR="001B3F8E" w:rsidRPr="00622080">
        <w:rPr>
          <w:rFonts w:ascii="Arial" w:hAnsi="Arial" w:cs="Arial"/>
        </w:rPr>
        <w:t>.</w:t>
      </w:r>
      <w:r w:rsidR="00DB3BFC" w:rsidRPr="00622080">
        <w:rPr>
          <w:rFonts w:ascii="Arial" w:hAnsi="Arial" w:cs="Arial"/>
        </w:rPr>
        <w:t xml:space="preserve">  </w:t>
      </w:r>
    </w:p>
    <w:p w14:paraId="02031D0B" w14:textId="4C7DE000" w:rsidR="001C67F4" w:rsidRPr="00622080" w:rsidRDefault="001C67F4" w:rsidP="0062208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22080">
        <w:rPr>
          <w:rFonts w:ascii="Arial" w:hAnsi="Arial" w:cs="Arial"/>
        </w:rPr>
        <w:t>3% of Calderdale residents aged 16 and older were unemployed.  It was 4% for West Yorkshire and 3% for England in Census 2021, and 5% for Calderdale in Census 2011.</w:t>
      </w:r>
    </w:p>
    <w:p w14:paraId="19E85192" w14:textId="5DE05D50" w:rsidR="001C67F4" w:rsidRPr="00622080" w:rsidRDefault="001C67F4" w:rsidP="0062208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22080">
        <w:rPr>
          <w:rFonts w:ascii="Arial" w:hAnsi="Arial" w:cs="Arial"/>
        </w:rPr>
        <w:t xml:space="preserve">41% of Calderdale residents aged 16 and older were economically inactive.  It was 41% for West Yorkshire and 39% for England in Census 2021, and </w:t>
      </w:r>
      <w:r w:rsidR="006331AC">
        <w:rPr>
          <w:rFonts w:ascii="Arial" w:hAnsi="Arial" w:cs="Arial"/>
        </w:rPr>
        <w:t>36</w:t>
      </w:r>
      <w:r w:rsidRPr="00622080">
        <w:rPr>
          <w:rFonts w:ascii="Arial" w:hAnsi="Arial" w:cs="Arial"/>
        </w:rPr>
        <w:t>% for Calderdale in Census 2011.</w:t>
      </w:r>
    </w:p>
    <w:p w14:paraId="69A14936" w14:textId="43173E60" w:rsidR="004929F3" w:rsidRDefault="004929F3" w:rsidP="001B3F8E">
      <w:pPr>
        <w:rPr>
          <w:rFonts w:ascii="Arial" w:hAnsi="Arial" w:cs="Arial"/>
        </w:rPr>
      </w:pPr>
      <w:r>
        <w:rPr>
          <w:rFonts w:ascii="Arial" w:hAnsi="Arial" w:cs="Arial"/>
        </w:rPr>
        <w:t>See Appendix table 2</w:t>
      </w:r>
      <w:r w:rsidR="00D2189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for </w:t>
      </w:r>
      <w:r w:rsidR="00804381">
        <w:rPr>
          <w:rFonts w:ascii="Arial" w:hAnsi="Arial" w:cs="Arial"/>
        </w:rPr>
        <w:t>more information.</w:t>
      </w:r>
    </w:p>
    <w:p w14:paraId="544654DB" w14:textId="7D35532C" w:rsidR="00D2189B" w:rsidRDefault="00D2189B" w:rsidP="00D21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69% of Calderdale residents aged 16 and older </w:t>
      </w:r>
      <w:r w:rsidR="005349AD">
        <w:rPr>
          <w:rFonts w:ascii="Arial" w:hAnsi="Arial" w:cs="Arial"/>
        </w:rPr>
        <w:t xml:space="preserve">in employment </w:t>
      </w:r>
      <w:r>
        <w:rPr>
          <w:rFonts w:ascii="Arial" w:hAnsi="Arial" w:cs="Arial"/>
        </w:rPr>
        <w:t>worked full time.  It was 69% for West Yorkshire and 70% for England in Census 2021, and 70% for Calderdale in Census 2011.  See Appendix table 2b for more information</w:t>
      </w:r>
    </w:p>
    <w:p w14:paraId="4E917A5F" w14:textId="18DEF468" w:rsidR="00012041" w:rsidRDefault="00012041" w:rsidP="00012041">
      <w:pPr>
        <w:rPr>
          <w:rFonts w:ascii="Arial" w:hAnsi="Arial" w:cs="Arial"/>
        </w:rPr>
      </w:pPr>
      <w:r>
        <w:rPr>
          <w:rFonts w:ascii="Arial" w:hAnsi="Arial" w:cs="Arial"/>
        </w:rPr>
        <w:t>The economic activity statistics recorded by Census are sometimes different to those recorded during the same period by the Labour Force Survey.  The ONS article “</w:t>
      </w:r>
      <w:hyperlink r:id="rId12" w:history="1">
        <w:r w:rsidRPr="00FC3F29">
          <w:rPr>
            <w:rStyle w:val="Hyperlink"/>
            <w:rFonts w:ascii="Arial" w:hAnsi="Arial" w:cs="Arial"/>
          </w:rPr>
          <w:t>Comparing Census 2021 and Labour Force Survey estimates of the labour market, England and Wales: March 2021</w:t>
        </w:r>
      </w:hyperlink>
      <w:r>
        <w:rPr>
          <w:rFonts w:ascii="Arial" w:hAnsi="Arial" w:cs="Arial"/>
        </w:rPr>
        <w:t>” provides an overview of the differences between the two data sources for March 2021.</w:t>
      </w:r>
    </w:p>
    <w:p w14:paraId="54A56CB8" w14:textId="73532F52" w:rsidR="00906012" w:rsidRDefault="00906012">
      <w:pPr>
        <w:rPr>
          <w:rFonts w:ascii="Arial" w:hAnsi="Arial" w:cs="Arial"/>
        </w:rPr>
      </w:pPr>
    </w:p>
    <w:p w14:paraId="6008C24D" w14:textId="4C32744D" w:rsidR="00906012" w:rsidRPr="00412C27" w:rsidRDefault="00906012" w:rsidP="00906012">
      <w:pPr>
        <w:pStyle w:val="Heading2"/>
        <w:rPr>
          <w:rFonts w:cs="Arial"/>
        </w:rPr>
      </w:pPr>
      <w:r>
        <w:rPr>
          <w:rFonts w:cs="Arial"/>
        </w:rPr>
        <w:t>Industry and Occupation</w:t>
      </w:r>
    </w:p>
    <w:p w14:paraId="5049229C" w14:textId="7AF8082C" w:rsidR="00D9744F" w:rsidRDefault="00D9744F" w:rsidP="00D9744F">
      <w:pPr>
        <w:rPr>
          <w:rFonts w:ascii="Arial" w:hAnsi="Arial" w:cs="Arial"/>
        </w:rPr>
      </w:pPr>
      <w:r>
        <w:rPr>
          <w:rFonts w:ascii="Arial" w:hAnsi="Arial" w:cs="Arial"/>
        </w:rPr>
        <w:t>The ONS article “</w:t>
      </w:r>
      <w:hyperlink r:id="rId13" w:history="1">
        <w:r>
          <w:rPr>
            <w:rStyle w:val="Hyperlink"/>
            <w:rFonts w:ascii="Arial" w:hAnsi="Arial" w:cs="Arial"/>
          </w:rPr>
          <w:t>Industry and occupation</w:t>
        </w:r>
        <w:r w:rsidRPr="00205A87">
          <w:rPr>
            <w:rStyle w:val="Hyperlink"/>
            <w:rFonts w:ascii="Arial" w:hAnsi="Arial" w:cs="Arial"/>
          </w:rPr>
          <w:t>: England Wales: Census 2021</w:t>
        </w:r>
      </w:hyperlink>
      <w:r>
        <w:rPr>
          <w:rFonts w:ascii="Arial" w:hAnsi="Arial" w:cs="Arial"/>
        </w:rPr>
        <w:t>” provides an overview of how information on industry of employment and occupation is reported in Census 2021.</w:t>
      </w:r>
    </w:p>
    <w:p w14:paraId="5CE8A8F9" w14:textId="64A74507" w:rsidR="00B20CE6" w:rsidRDefault="00B20CE6" w:rsidP="00D974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Four of the five top industries for employment in Calderdale were the same for both Census 2021 and Census 2011.  </w:t>
      </w:r>
    </w:p>
    <w:p w14:paraId="185E6F1B" w14:textId="2216AF60" w:rsidR="00D9744F" w:rsidRPr="00A63D88" w:rsidRDefault="00B55EA7" w:rsidP="00A63D8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63D88">
        <w:rPr>
          <w:rFonts w:ascii="Arial" w:hAnsi="Arial" w:cs="Arial"/>
        </w:rPr>
        <w:t xml:space="preserve">The top five industries for employment in </w:t>
      </w:r>
      <w:r w:rsidR="00A63D88">
        <w:rPr>
          <w:rFonts w:ascii="Arial" w:hAnsi="Arial" w:cs="Arial"/>
        </w:rPr>
        <w:t>Census 2021</w:t>
      </w:r>
      <w:r w:rsidRPr="00A63D88">
        <w:rPr>
          <w:rFonts w:ascii="Arial" w:hAnsi="Arial" w:cs="Arial"/>
        </w:rPr>
        <w:t xml:space="preserve"> were Wholesale and retail (15%), Human health and social work (15%), Education (11%), Manufacturing (10%) and Construction (10%).</w:t>
      </w:r>
    </w:p>
    <w:p w14:paraId="7FD6A404" w14:textId="16253149" w:rsidR="00B55EA7" w:rsidRPr="00A63D88" w:rsidRDefault="00B55EA7" w:rsidP="00A63D8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63D88">
        <w:rPr>
          <w:rFonts w:ascii="Arial" w:hAnsi="Arial" w:cs="Arial"/>
        </w:rPr>
        <w:t>The top five industries for employment in Census 2011 for Calderdale were Wholesale and retail (15%), Manufacturing (13%), Human health and social work (13%), Education (11%) and Financial and insurance (8%).</w:t>
      </w:r>
    </w:p>
    <w:p w14:paraId="205DC7F9" w14:textId="4062C294" w:rsidR="00B55EA7" w:rsidRDefault="00B55EA7" w:rsidP="00D9744F">
      <w:pPr>
        <w:rPr>
          <w:rFonts w:ascii="Arial" w:hAnsi="Arial" w:cs="Arial"/>
        </w:rPr>
      </w:pPr>
      <w:r>
        <w:rPr>
          <w:rFonts w:ascii="Arial" w:hAnsi="Arial" w:cs="Arial"/>
        </w:rPr>
        <w:t>Manufacturing is an important sector for employment in Calderdale.  The proportion of Calderdale residents employed in manufacturing in Census 2021 was 10% compared to 9% for West Yorkshire and 7% for England.  It was 13% in Calderdale in Census 2011.</w:t>
      </w:r>
    </w:p>
    <w:p w14:paraId="62820398" w14:textId="45645C12" w:rsidR="00B55EA7" w:rsidRDefault="00B55EA7" w:rsidP="00D9744F">
      <w:pPr>
        <w:rPr>
          <w:rFonts w:ascii="Arial" w:hAnsi="Arial" w:cs="Arial"/>
        </w:rPr>
      </w:pPr>
      <w:r>
        <w:rPr>
          <w:rFonts w:ascii="Arial" w:hAnsi="Arial" w:cs="Arial"/>
        </w:rPr>
        <w:t>See Appendix table 3</w:t>
      </w:r>
      <w:r w:rsidR="00D2189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for more information.</w:t>
      </w:r>
    </w:p>
    <w:p w14:paraId="362D069E" w14:textId="73E8CBA3" w:rsidR="00D2189B" w:rsidRDefault="00F32017" w:rsidP="00D974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Census includes information about the occupation of those employed.  The proportion of </w:t>
      </w:r>
      <w:r w:rsidR="001031F9">
        <w:rPr>
          <w:rFonts w:ascii="Arial" w:hAnsi="Arial" w:cs="Arial"/>
        </w:rPr>
        <w:t xml:space="preserve">Calderdale residents who were employed </w:t>
      </w:r>
      <w:r>
        <w:rPr>
          <w:rFonts w:ascii="Arial" w:hAnsi="Arial" w:cs="Arial"/>
        </w:rPr>
        <w:t>as</w:t>
      </w:r>
      <w:r w:rsidR="001031F9">
        <w:rPr>
          <w:rFonts w:ascii="Arial" w:hAnsi="Arial" w:cs="Arial"/>
        </w:rPr>
        <w:t xml:space="preserve"> either 1) Managers, directors, and senior officials, 2) Professional occupations or 3) Associate professionals</w:t>
      </w:r>
      <w:r>
        <w:rPr>
          <w:rFonts w:ascii="Arial" w:hAnsi="Arial" w:cs="Arial"/>
        </w:rPr>
        <w:t xml:space="preserve"> increased from 40% in Census 2011 to </w:t>
      </w:r>
      <w:r>
        <w:rPr>
          <w:rFonts w:ascii="Arial" w:hAnsi="Arial" w:cs="Arial"/>
        </w:rPr>
        <w:lastRenderedPageBreak/>
        <w:t>45% in Census 2021</w:t>
      </w:r>
      <w:r w:rsidR="001031F9">
        <w:rPr>
          <w:rFonts w:ascii="Arial" w:hAnsi="Arial" w:cs="Arial"/>
        </w:rPr>
        <w:t xml:space="preserve">.  It was 43% for West Yorkshire and 46% for England </w:t>
      </w:r>
      <w:r>
        <w:rPr>
          <w:rFonts w:ascii="Arial" w:hAnsi="Arial" w:cs="Arial"/>
        </w:rPr>
        <w:t>in Census 2021.</w:t>
      </w:r>
      <w:r w:rsidR="001031F9">
        <w:rPr>
          <w:rFonts w:ascii="Arial" w:hAnsi="Arial" w:cs="Arial"/>
        </w:rPr>
        <w:t xml:space="preserve"> See Appendix table 3b for more information.</w:t>
      </w:r>
    </w:p>
    <w:p w14:paraId="19A908E2" w14:textId="6EEE967D" w:rsidR="00286D21" w:rsidRDefault="00F32017" w:rsidP="00D974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Census includes information about </w:t>
      </w:r>
      <w:r w:rsidR="00CD5A02">
        <w:rPr>
          <w:rFonts w:ascii="Arial" w:hAnsi="Arial" w:cs="Arial"/>
        </w:rPr>
        <w:t xml:space="preserve">the number and proportion of </w:t>
      </w:r>
      <w:r>
        <w:rPr>
          <w:rFonts w:ascii="Arial" w:hAnsi="Arial" w:cs="Arial"/>
        </w:rPr>
        <w:t>people aged 16 and over by National Statistics Socio-economic classification.</w:t>
      </w:r>
      <w:r w:rsidR="00CD5A0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The proportion of Calderdale residents </w:t>
      </w:r>
      <w:r w:rsidR="00CD5A02">
        <w:rPr>
          <w:rFonts w:ascii="Arial" w:hAnsi="Arial" w:cs="Arial"/>
        </w:rPr>
        <w:t xml:space="preserve">aged 16 and over </w:t>
      </w:r>
      <w:r>
        <w:rPr>
          <w:rFonts w:ascii="Arial" w:hAnsi="Arial" w:cs="Arial"/>
        </w:rPr>
        <w:t xml:space="preserve">who </w:t>
      </w:r>
      <w:r w:rsidR="00CD5A02">
        <w:rPr>
          <w:rFonts w:ascii="Arial" w:hAnsi="Arial" w:cs="Arial"/>
        </w:rPr>
        <w:t>were “Small employers and own account workers”</w:t>
      </w:r>
      <w:r>
        <w:rPr>
          <w:rFonts w:ascii="Arial" w:hAnsi="Arial" w:cs="Arial"/>
        </w:rPr>
        <w:t xml:space="preserve"> increased from 9.5% in Census 2011 to 10.5% in Census 2021.  It was </w:t>
      </w:r>
      <w:r w:rsidR="00CD5A02">
        <w:rPr>
          <w:rFonts w:ascii="Arial" w:hAnsi="Arial" w:cs="Arial"/>
        </w:rPr>
        <w:t xml:space="preserve">9.1% for West Yorkshire, </w:t>
      </w:r>
      <w:r>
        <w:rPr>
          <w:rFonts w:ascii="Arial" w:hAnsi="Arial" w:cs="Arial"/>
        </w:rPr>
        <w:t xml:space="preserve">and </w:t>
      </w:r>
      <w:r w:rsidR="00CD5A02">
        <w:rPr>
          <w:rFonts w:ascii="Arial" w:hAnsi="Arial" w:cs="Arial"/>
        </w:rPr>
        <w:t>10.6% for England in Census 20</w:t>
      </w:r>
      <w:r>
        <w:rPr>
          <w:rFonts w:ascii="Arial" w:hAnsi="Arial" w:cs="Arial"/>
        </w:rPr>
        <w:t>2</w:t>
      </w:r>
      <w:r w:rsidR="00CD5A02">
        <w:rPr>
          <w:rFonts w:ascii="Arial" w:hAnsi="Arial" w:cs="Arial"/>
        </w:rPr>
        <w:t>1.  See Appendix table 3c for more information.</w:t>
      </w:r>
    </w:p>
    <w:p w14:paraId="32E6EC6C" w14:textId="77777777" w:rsidR="00E7242E" w:rsidRDefault="00E7242E" w:rsidP="001B3F8E">
      <w:pPr>
        <w:rPr>
          <w:rFonts w:ascii="Arial" w:hAnsi="Arial" w:cs="Arial"/>
        </w:rPr>
      </w:pPr>
    </w:p>
    <w:p w14:paraId="225B7D5F" w14:textId="46A487A9" w:rsidR="00F84114" w:rsidRPr="00412C27" w:rsidRDefault="00F9059C" w:rsidP="00F84114">
      <w:pPr>
        <w:pStyle w:val="Heading2"/>
        <w:rPr>
          <w:rFonts w:cs="Arial"/>
        </w:rPr>
      </w:pPr>
      <w:r>
        <w:rPr>
          <w:rFonts w:cs="Arial"/>
        </w:rPr>
        <w:t>Travel to work</w:t>
      </w:r>
    </w:p>
    <w:p w14:paraId="39618438" w14:textId="4E9CFC8D" w:rsidR="00F03BEB" w:rsidRDefault="00F73362" w:rsidP="00F03BEB">
      <w:pPr>
        <w:rPr>
          <w:rFonts w:ascii="Arial" w:hAnsi="Arial" w:cs="Arial"/>
        </w:rPr>
      </w:pPr>
      <w:r>
        <w:rPr>
          <w:rFonts w:ascii="Arial" w:hAnsi="Arial" w:cs="Arial"/>
        </w:rPr>
        <w:t>The ONS article “</w:t>
      </w:r>
      <w:hyperlink r:id="rId14" w:history="1">
        <w:r>
          <w:rPr>
            <w:rStyle w:val="Hyperlink"/>
            <w:rFonts w:ascii="Arial" w:hAnsi="Arial" w:cs="Arial"/>
          </w:rPr>
          <w:t>Travel to work</w:t>
        </w:r>
        <w:r w:rsidRPr="00205A87">
          <w:rPr>
            <w:rStyle w:val="Hyperlink"/>
            <w:rFonts w:ascii="Arial" w:hAnsi="Arial" w:cs="Arial"/>
          </w:rPr>
          <w:t>: England Wales: Census 2021</w:t>
        </w:r>
      </w:hyperlink>
      <w:r>
        <w:rPr>
          <w:rFonts w:ascii="Arial" w:hAnsi="Arial" w:cs="Arial"/>
        </w:rPr>
        <w:t xml:space="preserve">” provides an overview of how information on how employed residents travel to work and </w:t>
      </w:r>
      <w:r w:rsidR="0001204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distance </w:t>
      </w:r>
      <w:r w:rsidR="00012041">
        <w:rPr>
          <w:rFonts w:ascii="Arial" w:hAnsi="Arial" w:cs="Arial"/>
        </w:rPr>
        <w:t>they travel to work</w:t>
      </w:r>
      <w:r>
        <w:rPr>
          <w:rFonts w:ascii="Arial" w:hAnsi="Arial" w:cs="Arial"/>
        </w:rPr>
        <w:t xml:space="preserve"> is </w:t>
      </w:r>
      <w:r w:rsidR="0093067F">
        <w:rPr>
          <w:rFonts w:ascii="Arial" w:hAnsi="Arial" w:cs="Arial"/>
        </w:rPr>
        <w:t>recorded</w:t>
      </w:r>
      <w:r>
        <w:rPr>
          <w:rFonts w:ascii="Arial" w:hAnsi="Arial" w:cs="Arial"/>
        </w:rPr>
        <w:t xml:space="preserve"> in Census 2021.</w:t>
      </w:r>
    </w:p>
    <w:p w14:paraId="5816782E" w14:textId="5835200A" w:rsidR="00093CF8" w:rsidRDefault="00093CF8" w:rsidP="00093C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29% of Calderdale residents aged 16 and older </w:t>
      </w:r>
      <w:r w:rsidR="00184991">
        <w:rPr>
          <w:rFonts w:ascii="Arial" w:hAnsi="Arial" w:cs="Arial"/>
        </w:rPr>
        <w:t xml:space="preserve">who were in employment worked at home on </w:t>
      </w:r>
      <w:r w:rsidR="0093067F">
        <w:rPr>
          <w:rFonts w:ascii="Arial" w:hAnsi="Arial" w:cs="Arial"/>
        </w:rPr>
        <w:t>Census Day</w:t>
      </w:r>
      <w:r w:rsidR="00184991">
        <w:rPr>
          <w:rFonts w:ascii="Arial" w:hAnsi="Arial" w:cs="Arial"/>
        </w:rPr>
        <w:t xml:space="preserve"> in March 2021</w:t>
      </w:r>
      <w:r>
        <w:rPr>
          <w:rFonts w:ascii="Arial" w:hAnsi="Arial" w:cs="Arial"/>
        </w:rPr>
        <w:t xml:space="preserve">.  It was 28% for West Yorkshire and 32% for England in Census 2021, and 5% for Calderdale in Census 2011.  Figure </w:t>
      </w:r>
      <w:r w:rsidR="0015163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below shows the proportion of Calderdale residents aged 16 and older who were in employment a week before </w:t>
      </w:r>
      <w:r w:rsidR="0093067F">
        <w:rPr>
          <w:rFonts w:ascii="Arial" w:hAnsi="Arial" w:cs="Arial"/>
        </w:rPr>
        <w:t>Census Day</w:t>
      </w:r>
      <w:r>
        <w:rPr>
          <w:rFonts w:ascii="Arial" w:hAnsi="Arial" w:cs="Arial"/>
        </w:rPr>
        <w:t xml:space="preserve"> worked at home compared to other local authorities in the region.</w:t>
      </w:r>
    </w:p>
    <w:p w14:paraId="227275D9" w14:textId="41BE807C" w:rsidR="005E145D" w:rsidRDefault="005E145D" w:rsidP="005E145D">
      <w:pPr>
        <w:rPr>
          <w:rFonts w:ascii="Arial" w:hAnsi="Arial" w:cs="Arial"/>
        </w:rPr>
      </w:pPr>
      <w:r>
        <w:rPr>
          <w:rFonts w:ascii="Arial" w:hAnsi="Arial" w:cs="Arial"/>
        </w:rPr>
        <w:t>See Appendix table 4</w:t>
      </w:r>
      <w:r w:rsidR="00D92B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for more information</w:t>
      </w:r>
      <w:r w:rsidR="00D92B7C">
        <w:rPr>
          <w:rFonts w:ascii="Arial" w:hAnsi="Arial" w:cs="Arial"/>
        </w:rPr>
        <w:t xml:space="preserve"> about the number and proportion of </w:t>
      </w:r>
      <w:r w:rsidR="0093067F">
        <w:rPr>
          <w:rFonts w:ascii="Arial" w:hAnsi="Arial" w:cs="Arial"/>
        </w:rPr>
        <w:t xml:space="preserve">employed </w:t>
      </w:r>
      <w:r w:rsidR="00D92B7C">
        <w:rPr>
          <w:rFonts w:ascii="Arial" w:hAnsi="Arial" w:cs="Arial"/>
        </w:rPr>
        <w:t>Calderdale residents by method of travel to work and table 4b about distance travelled compared to West Yorkshire and England and Calderdale in Census 2011</w:t>
      </w:r>
      <w:r>
        <w:rPr>
          <w:rFonts w:ascii="Arial" w:hAnsi="Arial" w:cs="Arial"/>
        </w:rPr>
        <w:t>.</w:t>
      </w:r>
    </w:p>
    <w:p w14:paraId="557DE096" w14:textId="3961036F" w:rsidR="00220497" w:rsidRDefault="00220497" w:rsidP="0073348D">
      <w:pPr>
        <w:pStyle w:val="Heading3"/>
      </w:pPr>
      <w:r>
        <w:t xml:space="preserve">Figure </w:t>
      </w:r>
      <w:r w:rsidR="00151639">
        <w:t>1</w:t>
      </w:r>
      <w:r>
        <w:t>: Proportion of Calderdale residents aged 16 and older in employment who worked at home compared with other local authorities in the region</w:t>
      </w:r>
    </w:p>
    <w:p w14:paraId="270FF96D" w14:textId="77777777" w:rsidR="00220497" w:rsidRDefault="00220497" w:rsidP="00220497">
      <w:pPr>
        <w:keepNext/>
      </w:pPr>
      <w:r>
        <w:rPr>
          <w:noProof/>
        </w:rPr>
        <w:drawing>
          <wp:inline distT="0" distB="0" distL="0" distR="0" wp14:anchorId="45F33150" wp14:editId="6E7FE726">
            <wp:extent cx="6120130" cy="2886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1705"/>
                    <a:stretch/>
                  </pic:blipFill>
                  <pic:spPr bwMode="auto">
                    <a:xfrm>
                      <a:off x="0" y="0"/>
                      <a:ext cx="6120130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B73603" w14:textId="016B81A0" w:rsidR="00F73362" w:rsidRPr="0073348D" w:rsidRDefault="0073348D" w:rsidP="0073348D">
      <w:pPr>
        <w:pStyle w:val="Heading4"/>
        <w:rPr>
          <w:shd w:val="clear" w:color="auto" w:fill="FFFFFF"/>
        </w:rPr>
      </w:pPr>
      <w:r w:rsidRPr="0073348D">
        <w:t>D</w:t>
      </w:r>
      <w:r w:rsidR="00220497" w:rsidRPr="0073348D">
        <w:t>ata source: Office for National Statistics “</w:t>
      </w:r>
      <w:r w:rsidR="00220497" w:rsidRPr="0073348D">
        <w:rPr>
          <w:shd w:val="clear" w:color="auto" w:fill="FFFFFF"/>
        </w:rPr>
        <w:t xml:space="preserve">Percentage of usual residents aged 16 years and over in employment who were working mainly at or from home, 2021, local authorities in England and Wales” </w:t>
      </w:r>
      <w:hyperlink r:id="rId16" w:history="1">
        <w:r w:rsidRPr="0073348D">
          <w:rPr>
            <w:rStyle w:val="Hyperlink"/>
            <w:rFonts w:ascii="Open Sans" w:hAnsi="Open Sans" w:cs="Open Sans"/>
            <w:shd w:val="clear" w:color="auto" w:fill="FFFFFF"/>
          </w:rPr>
          <w:t>https://www.ons.gov.uk/census/maps/choropleth/work/method-of-travel-to-workplace/transport-to-workplace-12a/work-mainly-at-or-from-home</w:t>
        </w:r>
      </w:hyperlink>
      <w:r w:rsidRPr="0073348D">
        <w:rPr>
          <w:shd w:val="clear" w:color="auto" w:fill="FFFFFF"/>
        </w:rPr>
        <w:t>, , accessed 8 December 2022</w:t>
      </w:r>
    </w:p>
    <w:p w14:paraId="6C775D3B" w14:textId="77777777" w:rsidR="0073348D" w:rsidRPr="0073348D" w:rsidRDefault="0073348D" w:rsidP="0073348D"/>
    <w:p w14:paraId="1A3626B2" w14:textId="77777777" w:rsidR="00D92B7C" w:rsidRDefault="00D92B7C">
      <w:pPr>
        <w:rPr>
          <w:rFonts w:ascii="Arial" w:eastAsiaTheme="majorEastAsia" w:hAnsi="Arial" w:cstheme="majorBidi"/>
          <w:b/>
          <w:color w:val="000000" w:themeColor="text1"/>
          <w:sz w:val="24"/>
          <w:szCs w:val="26"/>
        </w:rPr>
      </w:pPr>
      <w:r>
        <w:br w:type="page"/>
      </w:r>
    </w:p>
    <w:p w14:paraId="6D5AEDB0" w14:textId="44A572E9" w:rsidR="00F9059C" w:rsidRDefault="00F9059C" w:rsidP="00F9059C">
      <w:pPr>
        <w:pStyle w:val="Heading2"/>
      </w:pPr>
      <w:r>
        <w:lastRenderedPageBreak/>
        <w:t>New information expected in Census 2021 “Phase two”</w:t>
      </w:r>
    </w:p>
    <w:p w14:paraId="545D5865" w14:textId="7BCC15E7" w:rsidR="00F9059C" w:rsidRDefault="00F9059C" w:rsidP="00F90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Census 2021 “Phase one” data sets, such as those published with this topic summary, are “univariate” – based on one variable such as age or </w:t>
      </w:r>
      <w:r w:rsidR="00782C4F">
        <w:rPr>
          <w:rFonts w:ascii="Arial" w:hAnsi="Arial" w:cs="Arial"/>
        </w:rPr>
        <w:t>economic activity status</w:t>
      </w:r>
      <w:r>
        <w:rPr>
          <w:rFonts w:ascii="Arial" w:hAnsi="Arial" w:cs="Arial"/>
        </w:rPr>
        <w:t xml:space="preserve">.  ONS will shortly be publishing Census 2021 “Phase two” data and visualisation tools in late 2022/early 2023.  These will give access to data by two or more variables – for example </w:t>
      </w:r>
      <w:r w:rsidR="007365B2">
        <w:rPr>
          <w:rFonts w:ascii="Arial" w:hAnsi="Arial" w:cs="Arial"/>
        </w:rPr>
        <w:t>age and economic activity</w:t>
      </w:r>
      <w:r>
        <w:rPr>
          <w:rFonts w:ascii="Arial" w:hAnsi="Arial" w:cs="Arial"/>
        </w:rPr>
        <w:t xml:space="preserve"> – for small areas – while at the same time ensure appropriate disclosure rules are maintained to respect privacy.  The </w:t>
      </w:r>
      <w:hyperlink r:id="rId17" w:history="1">
        <w:r w:rsidRPr="00FA56C7">
          <w:rPr>
            <w:rStyle w:val="Hyperlink"/>
            <w:rFonts w:ascii="Arial" w:hAnsi="Arial" w:cs="Arial"/>
          </w:rPr>
          <w:t>ONS Census 2021 Multivariate data webpage</w:t>
        </w:r>
      </w:hyperlink>
      <w:r>
        <w:rPr>
          <w:rFonts w:ascii="Arial" w:hAnsi="Arial" w:cs="Arial"/>
        </w:rPr>
        <w:t xml:space="preserve"> sets out their approach for Phase two.</w:t>
      </w:r>
    </w:p>
    <w:p w14:paraId="1C15046B" w14:textId="77777777" w:rsidR="00F9059C" w:rsidRPr="00412C27" w:rsidRDefault="00F9059C" w:rsidP="00F9059C">
      <w:pPr>
        <w:rPr>
          <w:rFonts w:ascii="Arial" w:hAnsi="Arial" w:cs="Arial"/>
        </w:rPr>
      </w:pPr>
      <w:r w:rsidRPr="00412C27">
        <w:rPr>
          <w:rFonts w:ascii="Arial" w:hAnsi="Arial" w:cs="Arial"/>
        </w:rPr>
        <w:t xml:space="preserve">A list of the topic summaries and expected dates for publication is available on </w:t>
      </w:r>
      <w:hyperlink r:id="rId18" w:history="1">
        <w:r w:rsidRPr="00412C27">
          <w:rPr>
            <w:rStyle w:val="Hyperlink"/>
            <w:rFonts w:ascii="Arial" w:hAnsi="Arial" w:cs="Arial"/>
          </w:rPr>
          <w:t>Calderdale Dataworks website</w:t>
        </w:r>
      </w:hyperlink>
      <w:r>
        <w:rPr>
          <w:rStyle w:val="Hyperlink"/>
          <w:rFonts w:ascii="Arial" w:hAnsi="Arial" w:cs="Arial"/>
        </w:rPr>
        <w:t>.</w:t>
      </w:r>
    </w:p>
    <w:p w14:paraId="14202961" w14:textId="4CEAEB68" w:rsidR="00151639" w:rsidRDefault="00151639">
      <w:pPr>
        <w:rPr>
          <w:rFonts w:ascii="Arial" w:eastAsiaTheme="majorEastAsia" w:hAnsi="Arial" w:cstheme="majorBidi"/>
          <w:b/>
          <w:color w:val="000000" w:themeColor="text1"/>
          <w:sz w:val="24"/>
          <w:szCs w:val="26"/>
        </w:rPr>
      </w:pPr>
    </w:p>
    <w:p w14:paraId="2A1EFCA7" w14:textId="76682353" w:rsidR="00EF07B1" w:rsidRDefault="00EF07B1" w:rsidP="00521E8D">
      <w:pPr>
        <w:pStyle w:val="Heading2"/>
      </w:pPr>
      <w:r w:rsidRPr="00412C27">
        <w:t xml:space="preserve">Important links </w:t>
      </w:r>
    </w:p>
    <w:p w14:paraId="1A6040A0" w14:textId="77777777" w:rsidR="00400A44" w:rsidRPr="00412C27" w:rsidRDefault="00400A44" w:rsidP="00EF07B1">
      <w:pPr>
        <w:rPr>
          <w:rFonts w:ascii="Arial" w:hAnsi="Arial" w:cs="Arial"/>
          <w:b/>
          <w:bCs/>
        </w:rPr>
      </w:pPr>
    </w:p>
    <w:p w14:paraId="01CF56EF" w14:textId="77777777" w:rsidR="00EF07B1" w:rsidRPr="00412C27" w:rsidRDefault="00EF07B1" w:rsidP="00EF07B1">
      <w:pPr>
        <w:rPr>
          <w:rFonts w:ascii="Arial" w:hAnsi="Arial" w:cs="Arial"/>
        </w:rPr>
      </w:pPr>
      <w:r w:rsidRPr="00412C27">
        <w:rPr>
          <w:rFonts w:ascii="Arial" w:hAnsi="Arial" w:cs="Arial"/>
        </w:rPr>
        <w:t>Calderdale Dataworks</w:t>
      </w:r>
    </w:p>
    <w:p w14:paraId="0A46AE26" w14:textId="77777777" w:rsidR="00EF07B1" w:rsidRPr="00412C27" w:rsidRDefault="00EF07B1" w:rsidP="00EF07B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12C27">
        <w:rPr>
          <w:rFonts w:ascii="Arial" w:hAnsi="Arial" w:cs="Arial"/>
        </w:rPr>
        <w:t xml:space="preserve">Census 2021 </w:t>
      </w:r>
      <w:hyperlink r:id="rId19" w:history="1">
        <w:r w:rsidRPr="00412C27">
          <w:rPr>
            <w:rStyle w:val="Hyperlink"/>
            <w:rFonts w:ascii="Arial" w:hAnsi="Arial" w:cs="Arial"/>
          </w:rPr>
          <w:t>https://dataworks.calderdale.gov.uk/census-2021/</w:t>
        </w:r>
      </w:hyperlink>
    </w:p>
    <w:p w14:paraId="5493986F" w14:textId="77777777" w:rsidR="00EF07B1" w:rsidRPr="00412C27" w:rsidRDefault="00EF07B1" w:rsidP="00EF07B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12C27">
        <w:rPr>
          <w:rFonts w:ascii="Arial" w:hAnsi="Arial" w:cs="Arial"/>
        </w:rPr>
        <w:t xml:space="preserve">Census 2021 publications </w:t>
      </w:r>
      <w:hyperlink r:id="rId20" w:history="1">
        <w:r w:rsidRPr="00412C27">
          <w:rPr>
            <w:rStyle w:val="Hyperlink"/>
            <w:rFonts w:ascii="Arial" w:hAnsi="Arial" w:cs="Arial"/>
          </w:rPr>
          <w:t>https://dataworks.calderdale.gov.uk/census-2021/census-2021-publications/</w:t>
        </w:r>
      </w:hyperlink>
    </w:p>
    <w:p w14:paraId="3D4BC6BD" w14:textId="77777777" w:rsidR="00EF07B1" w:rsidRPr="00412C27" w:rsidRDefault="00EF07B1" w:rsidP="00EF07B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12C27">
        <w:rPr>
          <w:rFonts w:ascii="Arial" w:hAnsi="Arial" w:cs="Arial"/>
        </w:rPr>
        <w:t xml:space="preserve">Census 2021 data sets </w:t>
      </w:r>
      <w:hyperlink r:id="rId21" w:history="1">
        <w:r w:rsidRPr="00412C27">
          <w:rPr>
            <w:rStyle w:val="Hyperlink"/>
            <w:rFonts w:ascii="Arial" w:hAnsi="Arial" w:cs="Arial"/>
          </w:rPr>
          <w:t>https://dataworks.calderdale.gov.uk/dataset/emgpg/census-2021</w:t>
        </w:r>
      </w:hyperlink>
    </w:p>
    <w:p w14:paraId="1F1404D9" w14:textId="77777777" w:rsidR="00EF07B1" w:rsidRPr="00412C27" w:rsidRDefault="00EF07B1" w:rsidP="00EF07B1">
      <w:pPr>
        <w:rPr>
          <w:rFonts w:ascii="Arial" w:hAnsi="Arial" w:cs="Arial"/>
        </w:rPr>
      </w:pPr>
    </w:p>
    <w:p w14:paraId="5E0AB78C" w14:textId="77777777" w:rsidR="00EF07B1" w:rsidRPr="00412C27" w:rsidRDefault="00EF07B1" w:rsidP="00EF07B1">
      <w:pPr>
        <w:rPr>
          <w:rFonts w:ascii="Arial" w:hAnsi="Arial" w:cs="Arial"/>
        </w:rPr>
      </w:pPr>
      <w:r w:rsidRPr="00412C27">
        <w:rPr>
          <w:rFonts w:ascii="Arial" w:hAnsi="Arial" w:cs="Arial"/>
        </w:rPr>
        <w:t>Office for National Statistics website</w:t>
      </w:r>
    </w:p>
    <w:p w14:paraId="691C5B7A" w14:textId="610F14E1" w:rsidR="00782C4F" w:rsidRPr="00782C4F" w:rsidRDefault="00266E5B" w:rsidP="00FF7140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782C4F">
        <w:rPr>
          <w:rFonts w:ascii="Arial" w:hAnsi="Arial" w:cs="Arial"/>
          <w:color w:val="000000" w:themeColor="text1"/>
        </w:rPr>
        <w:t xml:space="preserve">Census 2021 </w:t>
      </w:r>
      <w:r w:rsidR="00EF5BF3" w:rsidRPr="00782C4F">
        <w:rPr>
          <w:rFonts w:ascii="Arial" w:hAnsi="Arial" w:cs="Arial"/>
          <w:color w:val="000000" w:themeColor="text1"/>
        </w:rPr>
        <w:t>Labour market and travel to work</w:t>
      </w:r>
      <w:r w:rsidRPr="00782C4F">
        <w:rPr>
          <w:rFonts w:ascii="Arial" w:hAnsi="Arial" w:cs="Arial"/>
          <w:color w:val="000000" w:themeColor="text1"/>
        </w:rPr>
        <w:t xml:space="preserve">: Census 2021 in England and Wales </w:t>
      </w:r>
      <w:hyperlink r:id="rId22" w:history="1">
        <w:r w:rsidR="00782C4F" w:rsidRPr="00782C4F">
          <w:rPr>
            <w:rStyle w:val="Hyperlink"/>
            <w:rFonts w:ascii="Arial" w:hAnsi="Arial" w:cs="Arial"/>
          </w:rPr>
          <w:t>https://www.ons.gov.uk/releases/labourmarketandtraveltoworkcensus2021inenglandandwales</w:t>
        </w:r>
      </w:hyperlink>
    </w:p>
    <w:p w14:paraId="5C3050F9" w14:textId="6218B674" w:rsidR="00EF07B1" w:rsidRPr="00782C4F" w:rsidRDefault="00EF07B1" w:rsidP="00FF7140">
      <w:pPr>
        <w:pStyle w:val="ListParagraph"/>
        <w:numPr>
          <w:ilvl w:val="0"/>
          <w:numId w:val="7"/>
        </w:numPr>
        <w:rPr>
          <w:rStyle w:val="Hyperlink"/>
          <w:rFonts w:ascii="Arial" w:hAnsi="Arial" w:cs="Arial"/>
          <w:color w:val="auto"/>
          <w:u w:val="none"/>
        </w:rPr>
      </w:pPr>
      <w:r w:rsidRPr="00782C4F">
        <w:rPr>
          <w:rFonts w:ascii="Arial" w:hAnsi="Arial" w:cs="Arial"/>
        </w:rPr>
        <w:t xml:space="preserve">Census  </w:t>
      </w:r>
      <w:hyperlink r:id="rId23" w:history="1">
        <w:r w:rsidRPr="00782C4F">
          <w:rPr>
            <w:rStyle w:val="Hyperlink"/>
            <w:rFonts w:ascii="Arial" w:hAnsi="Arial" w:cs="Arial"/>
          </w:rPr>
          <w:t>https://www.ons.gov.uk/census</w:t>
        </w:r>
      </w:hyperlink>
    </w:p>
    <w:p w14:paraId="2AD44F8F" w14:textId="77777777" w:rsidR="00EF07B1" w:rsidRPr="00412C27" w:rsidRDefault="00EF07B1" w:rsidP="00EF07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2C27">
        <w:rPr>
          <w:rFonts w:ascii="Arial" w:hAnsi="Arial" w:cs="Arial"/>
        </w:rPr>
        <w:t xml:space="preserve">Census 2021 release plans </w:t>
      </w:r>
      <w:hyperlink r:id="rId24" w:history="1">
        <w:r w:rsidRPr="00412C27">
          <w:rPr>
            <w:rStyle w:val="Hyperlink"/>
            <w:rFonts w:ascii="Arial" w:hAnsi="Arial" w:cs="Arial"/>
          </w:rPr>
          <w:t>https://www.ons.gov.uk/census/aboutcensus/releaseplans</w:t>
        </w:r>
      </w:hyperlink>
    </w:p>
    <w:p w14:paraId="2DFCF58B" w14:textId="77777777" w:rsidR="00EF07B1" w:rsidRPr="00412C27" w:rsidRDefault="00EF07B1" w:rsidP="00EF07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2C27">
        <w:rPr>
          <w:rFonts w:ascii="Arial" w:hAnsi="Arial" w:cs="Arial"/>
        </w:rPr>
        <w:t xml:space="preserve">Census 2021 topic summaries </w:t>
      </w:r>
      <w:hyperlink r:id="rId25" w:history="1">
        <w:r w:rsidRPr="00412C27">
          <w:rPr>
            <w:rStyle w:val="Hyperlink"/>
            <w:rFonts w:ascii="Arial" w:hAnsi="Arial" w:cs="Arial"/>
          </w:rPr>
          <w:t>https://www.ons.gov.uk/census/aboutcensus/censusproducts/topicsummaries</w:t>
        </w:r>
      </w:hyperlink>
    </w:p>
    <w:p w14:paraId="5C64B21B" w14:textId="24E4944D" w:rsidR="00EF07B1" w:rsidRDefault="00EF07B1" w:rsidP="00EF07B1">
      <w:pPr>
        <w:pStyle w:val="ListParagraph"/>
        <w:numPr>
          <w:ilvl w:val="0"/>
          <w:numId w:val="7"/>
        </w:numPr>
        <w:rPr>
          <w:rStyle w:val="Hyperlink"/>
          <w:rFonts w:ascii="Arial" w:hAnsi="Arial" w:cs="Arial"/>
        </w:rPr>
      </w:pPr>
      <w:r w:rsidRPr="00412C27">
        <w:rPr>
          <w:rFonts w:ascii="Arial" w:hAnsi="Arial" w:cs="Arial"/>
        </w:rPr>
        <w:t xml:space="preserve">Census Map visualisation tool, </w:t>
      </w:r>
      <w:hyperlink r:id="rId26" w:history="1">
        <w:r w:rsidRPr="00412C27">
          <w:rPr>
            <w:rStyle w:val="Hyperlink"/>
            <w:rFonts w:ascii="Arial" w:hAnsi="Arial" w:cs="Arial"/>
          </w:rPr>
          <w:t>https://www.ons.gov.uk/census/maps/choropleth/population?lad=E08000033</w:t>
        </w:r>
      </w:hyperlink>
    </w:p>
    <w:p w14:paraId="3137C4A1" w14:textId="77777777" w:rsidR="00F9059C" w:rsidRPr="008C5C2D" w:rsidRDefault="00F9059C" w:rsidP="00F9059C">
      <w:pPr>
        <w:pStyle w:val="ListParagraph"/>
        <w:numPr>
          <w:ilvl w:val="0"/>
          <w:numId w:val="7"/>
        </w:numPr>
        <w:rPr>
          <w:rStyle w:val="Hyperlink"/>
          <w:rFonts w:ascii="Arial" w:hAnsi="Arial" w:cs="Arial"/>
        </w:rPr>
      </w:pPr>
      <w:r w:rsidRPr="00423665">
        <w:rPr>
          <w:rFonts w:ascii="Arial" w:eastAsia="Times New Roman" w:hAnsi="Arial" w:cs="Arial"/>
          <w:lang w:eastAsia="en-GB"/>
        </w:rPr>
        <w:t>ONS 2021 Census Area Profile too</w:t>
      </w:r>
      <w:r>
        <w:rPr>
          <w:rFonts w:ascii="Arial" w:eastAsia="Times New Roman" w:hAnsi="Arial" w:cs="Arial"/>
          <w:lang w:eastAsia="en-GB"/>
        </w:rPr>
        <w:t xml:space="preserve">l, </w:t>
      </w:r>
      <w:r>
        <w:rPr>
          <w:rStyle w:val="Hyperlink"/>
          <w:rFonts w:ascii="Arial" w:eastAsia="Times New Roman" w:hAnsi="Arial" w:cs="Arial"/>
          <w:lang w:eastAsia="en-GB"/>
        </w:rPr>
        <w:t xml:space="preserve"> </w:t>
      </w:r>
      <w:hyperlink r:id="rId27" w:history="1">
        <w:r w:rsidRPr="00AF45AF">
          <w:rPr>
            <w:rStyle w:val="Hyperlink"/>
            <w:rFonts w:ascii="Arial" w:eastAsia="Times New Roman" w:hAnsi="Arial" w:cs="Arial"/>
            <w:lang w:eastAsia="en-GB"/>
          </w:rPr>
          <w:t>https://www.nomisweb.co.uk/sources/census_2021/report?compare=E08000033</w:t>
        </w:r>
      </w:hyperlink>
    </w:p>
    <w:p w14:paraId="437F3452" w14:textId="77777777" w:rsidR="00F9059C" w:rsidRPr="00430D94" w:rsidRDefault="00F9059C" w:rsidP="00F9059C">
      <w:pPr>
        <w:pStyle w:val="ListParagraph"/>
        <w:numPr>
          <w:ilvl w:val="0"/>
          <w:numId w:val="7"/>
        </w:numPr>
        <w:rPr>
          <w:rFonts w:ascii="Arial" w:hAnsi="Arial" w:cs="Arial"/>
          <w:color w:val="0563C1" w:themeColor="hyperlink"/>
          <w:u w:val="single"/>
        </w:rPr>
      </w:pPr>
      <w:r>
        <w:rPr>
          <w:rFonts w:ascii="Arial" w:hAnsi="Arial" w:cs="Arial"/>
        </w:rPr>
        <w:t xml:space="preserve">Play the Census 2021 quiz: how well do you know your area?  </w:t>
      </w:r>
      <w:hyperlink r:id="rId28" w:history="1">
        <w:r w:rsidRPr="005756A0">
          <w:rPr>
            <w:rStyle w:val="Hyperlink"/>
            <w:rFonts w:ascii="Arial" w:hAnsi="Arial" w:cs="Arial"/>
          </w:rPr>
          <w:t>https://www.ons.gov.uk/peoplepopulationandcommunity/populationandmigration/populationestimates/articles/playthecensus2021quizhowwelldoyouknowyourarea/2022-12-02</w:t>
        </w:r>
      </w:hyperlink>
    </w:p>
    <w:p w14:paraId="25AC035B" w14:textId="2A82F9A1" w:rsidR="00EF07B1" w:rsidRPr="00412C27" w:rsidRDefault="00F9059C" w:rsidP="00782C4F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How your area has changed in 10 years: Census 2021</w:t>
      </w:r>
      <w:r w:rsidR="00782C4F">
        <w:rPr>
          <w:rFonts w:ascii="Arial" w:hAnsi="Arial" w:cs="Arial"/>
        </w:rPr>
        <w:t xml:space="preserve">, </w:t>
      </w:r>
      <w:hyperlink r:id="rId29" w:history="1">
        <w:r w:rsidR="00782C4F" w:rsidRPr="00385E1E">
          <w:rPr>
            <w:rStyle w:val="Hyperlink"/>
            <w:rFonts w:ascii="Arial" w:eastAsia="Times New Roman" w:hAnsi="Arial" w:cs="Arial"/>
            <w:lang w:eastAsia="en-GB"/>
          </w:rPr>
          <w:t>How has your area changed in the last 10 years</w:t>
        </w:r>
      </w:hyperlink>
      <w:r w:rsidR="00782C4F">
        <w:rPr>
          <w:rFonts w:ascii="Arial" w:hAnsi="Arial" w:cs="Arial"/>
        </w:rPr>
        <w:t xml:space="preserve"> </w:t>
      </w:r>
    </w:p>
    <w:p w14:paraId="53096FC8" w14:textId="77777777" w:rsidR="00EF07B1" w:rsidRPr="00412C27" w:rsidRDefault="00EF07B1" w:rsidP="00EF07B1">
      <w:pPr>
        <w:rPr>
          <w:rFonts w:ascii="Arial" w:hAnsi="Arial" w:cs="Arial"/>
          <w:b/>
          <w:bCs/>
        </w:rPr>
      </w:pPr>
    </w:p>
    <w:p w14:paraId="2C122E90" w14:textId="6B72FD3E" w:rsidR="00EF07B1" w:rsidRDefault="00EF07B1" w:rsidP="00EF07B1">
      <w:pPr>
        <w:rPr>
          <w:rFonts w:ascii="Arial" w:hAnsi="Arial" w:cs="Arial"/>
        </w:rPr>
      </w:pPr>
      <w:r w:rsidRPr="00412C27">
        <w:rPr>
          <w:rFonts w:ascii="Arial" w:hAnsi="Arial" w:cs="Arial"/>
          <w:b/>
          <w:bCs/>
        </w:rPr>
        <w:t>Officer Contact Details:</w:t>
      </w:r>
      <w:r w:rsidRPr="00412C27">
        <w:rPr>
          <w:rFonts w:ascii="Arial" w:hAnsi="Arial" w:cs="Arial"/>
        </w:rPr>
        <w:t xml:space="preserve"> Gail Edge, Performance and Business Intelligence Manager </w:t>
      </w:r>
      <w:hyperlink r:id="rId30" w:history="1">
        <w:r w:rsidRPr="00412C27">
          <w:rPr>
            <w:rStyle w:val="Hyperlink"/>
            <w:rFonts w:ascii="Arial" w:hAnsi="Arial" w:cs="Arial"/>
          </w:rPr>
          <w:t>Performance.businessintelligence@Calderdale.gov.uk</w:t>
        </w:r>
      </w:hyperlink>
      <w:r w:rsidRPr="00412C27">
        <w:rPr>
          <w:rFonts w:ascii="Arial" w:hAnsi="Arial" w:cs="Arial"/>
        </w:rPr>
        <w:t xml:space="preserve"> </w:t>
      </w:r>
    </w:p>
    <w:p w14:paraId="02F92A97" w14:textId="77777777" w:rsidR="000B27E5" w:rsidRDefault="000B27E5">
      <w:pPr>
        <w:rPr>
          <w:rFonts w:ascii="Arial" w:hAnsi="Arial" w:cs="Arial"/>
        </w:rPr>
        <w:sectPr w:rsidR="000B27E5" w:rsidSect="007749A9">
          <w:footerReference w:type="default" r:id="rId31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2BC67F1" w14:textId="3FD371E9" w:rsidR="0053500F" w:rsidRDefault="0053500F" w:rsidP="0033447F">
      <w:pPr>
        <w:pStyle w:val="Heading2"/>
        <w:rPr>
          <w:rFonts w:cs="Arial"/>
        </w:rPr>
      </w:pPr>
      <w:r w:rsidRPr="00412C27">
        <w:rPr>
          <w:rFonts w:cs="Arial"/>
        </w:rPr>
        <w:lastRenderedPageBreak/>
        <w:t>Appendix</w:t>
      </w: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5665"/>
        <w:gridCol w:w="6224"/>
        <w:gridCol w:w="2286"/>
      </w:tblGrid>
      <w:tr w:rsidR="00F9059C" w:rsidRPr="00EF5BF3" w14:paraId="1C917AB6" w14:textId="77777777" w:rsidTr="000B27E5">
        <w:trPr>
          <w:cantSplit/>
          <w:trHeight w:val="454"/>
        </w:trPr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413F456" w14:textId="3D6C27A3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Table 1a: Census 2021: Labour market and travel to work: Topic summary: list of data sets</w:t>
            </w:r>
          </w:p>
        </w:tc>
      </w:tr>
      <w:tr w:rsidR="00F9059C" w:rsidRPr="00EF5BF3" w14:paraId="1F85A383" w14:textId="77777777" w:rsidTr="000B27E5">
        <w:trPr>
          <w:cantSplit/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5639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Dataset title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8EF1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Population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8F69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Geography</w:t>
            </w:r>
          </w:p>
        </w:tc>
      </w:tr>
      <w:tr w:rsidR="00F9059C" w:rsidRPr="00EF5BF3" w14:paraId="529BF169" w14:textId="77777777" w:rsidTr="000B27E5">
        <w:trPr>
          <w:cantSplit/>
          <w:trHeight w:val="340"/>
        </w:trPr>
        <w:tc>
          <w:tcPr>
            <w:tcW w:w="14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3CE5" w14:textId="2986FAA4" w:rsidR="00F9059C" w:rsidRPr="00F9059C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Labour Market</w:t>
            </w:r>
          </w:p>
        </w:tc>
      </w:tr>
      <w:tr w:rsidR="00F9059C" w:rsidRPr="00EF5BF3" w14:paraId="51455B2E" w14:textId="77777777" w:rsidTr="000B27E5">
        <w:trPr>
          <w:cantSplit/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F6F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Hours worked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04E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usual residents aged 16 years and over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590E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Output area</w:t>
            </w:r>
          </w:p>
        </w:tc>
      </w:tr>
      <w:tr w:rsidR="00F9059C" w:rsidRPr="00EF5BF3" w14:paraId="169D9627" w14:textId="77777777" w:rsidTr="000B27E5">
        <w:trPr>
          <w:cantSplit/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DF88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Industry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4F7D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usual residents aged 16 years and over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7C3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MSOA</w:t>
            </w:r>
          </w:p>
        </w:tc>
      </w:tr>
      <w:tr w:rsidR="00F9059C" w:rsidRPr="00EF5BF3" w14:paraId="05B77679" w14:textId="77777777" w:rsidTr="000B27E5">
        <w:trPr>
          <w:cantSplit/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267E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Occupation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3055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usual residents aged 16 years and over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1E3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Output area</w:t>
            </w:r>
          </w:p>
        </w:tc>
      </w:tr>
      <w:tr w:rsidR="00F9059C" w:rsidRPr="00EF5BF3" w14:paraId="3B8090BD" w14:textId="77777777" w:rsidTr="000B27E5">
        <w:trPr>
          <w:cantSplit/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ADBC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Occupation - minor groups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F256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usual residents aged 16 years and over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A55C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MSOA</w:t>
            </w:r>
          </w:p>
        </w:tc>
      </w:tr>
      <w:tr w:rsidR="00F9059C" w:rsidRPr="00EF5BF3" w14:paraId="5E0A226E" w14:textId="77777777" w:rsidTr="000B27E5">
        <w:trPr>
          <w:cantSplit/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8617" w14:textId="313D3E9A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NS-SeC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(National statistics socio-economic classification)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BF61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usual residents aged 16 years and over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C40E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Output area</w:t>
            </w:r>
          </w:p>
        </w:tc>
      </w:tr>
      <w:tr w:rsidR="00F9059C" w:rsidRPr="00EF5BF3" w14:paraId="0B765C08" w14:textId="77777777" w:rsidTr="000B27E5">
        <w:trPr>
          <w:cantSplit/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AB87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Unemployment history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5A11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usual residents aged 16 years and over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70B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Output area</w:t>
            </w:r>
          </w:p>
        </w:tc>
      </w:tr>
      <w:tr w:rsidR="00F9059C" w:rsidRPr="00EF5BF3" w14:paraId="76B10B69" w14:textId="77777777" w:rsidTr="000B27E5">
        <w:trPr>
          <w:cantSplit/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5C45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Economic activity status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2F64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usual residents aged 16 years and over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C247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Output area</w:t>
            </w:r>
          </w:p>
        </w:tc>
      </w:tr>
      <w:tr w:rsidR="00F9059C" w:rsidRPr="00EF5BF3" w14:paraId="178419BD" w14:textId="77777777" w:rsidTr="000B27E5">
        <w:trPr>
          <w:cantSplit/>
          <w:trHeight w:val="340"/>
        </w:trPr>
        <w:tc>
          <w:tcPr>
            <w:tcW w:w="14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7B32" w14:textId="3A4A3826" w:rsidR="00F9059C" w:rsidRPr="00F9059C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Travel to Work</w:t>
            </w:r>
          </w:p>
        </w:tc>
      </w:tr>
      <w:tr w:rsidR="00F9059C" w:rsidRPr="00EF5BF3" w14:paraId="58ED99E7" w14:textId="77777777" w:rsidTr="000B27E5">
        <w:trPr>
          <w:cantSplit/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B163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Method used to travel to work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170B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usual residents aged 16 years and over in employment the week before the census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A09D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Output area</w:t>
            </w:r>
          </w:p>
        </w:tc>
      </w:tr>
      <w:tr w:rsidR="00F9059C" w:rsidRPr="00EF5BF3" w14:paraId="7C713548" w14:textId="77777777" w:rsidTr="000B27E5">
        <w:trPr>
          <w:cantSplit/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0EDB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Distance travelled to work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6021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usual residents aged 16 years and over in employment the week before the census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D124" w14:textId="77777777" w:rsidR="00F9059C" w:rsidRPr="00EF5BF3" w:rsidRDefault="00F9059C" w:rsidP="00EF5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F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Output area</w:t>
            </w:r>
          </w:p>
        </w:tc>
      </w:tr>
    </w:tbl>
    <w:p w14:paraId="76BFF02D" w14:textId="77777777" w:rsidR="00266E5B" w:rsidRDefault="00266E5B" w:rsidP="007749A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75" w:type="dxa"/>
        <w:tblLook w:val="04A0" w:firstRow="1" w:lastRow="0" w:firstColumn="1" w:lastColumn="0" w:noHBand="0" w:noVBand="1"/>
      </w:tblPr>
      <w:tblGrid>
        <w:gridCol w:w="2289"/>
        <w:gridCol w:w="3518"/>
        <w:gridCol w:w="2539"/>
        <w:gridCol w:w="2708"/>
        <w:gridCol w:w="3121"/>
      </w:tblGrid>
      <w:tr w:rsidR="00F9059C" w:rsidRPr="003F69AB" w14:paraId="53DF164C" w14:textId="77777777" w:rsidTr="000B27E5">
        <w:trPr>
          <w:trHeight w:val="454"/>
        </w:trPr>
        <w:tc>
          <w:tcPr>
            <w:tcW w:w="0" w:type="auto"/>
            <w:gridSpan w:val="5"/>
            <w:shd w:val="clear" w:color="auto" w:fill="C5E0B3" w:themeFill="accent6" w:themeFillTint="66"/>
            <w:vAlign w:val="center"/>
          </w:tcPr>
          <w:p w14:paraId="2EB0E8C8" w14:textId="77777777" w:rsidR="00F9059C" w:rsidRPr="00586CEC" w:rsidRDefault="00F9059C" w:rsidP="00CE6E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Table 1b: Census geography descriptions</w:t>
            </w:r>
          </w:p>
        </w:tc>
      </w:tr>
      <w:tr w:rsidR="00F9059C" w:rsidRPr="003F69AB" w14:paraId="2D94C600" w14:textId="77777777" w:rsidTr="000B27E5">
        <w:trPr>
          <w:trHeight w:val="340"/>
        </w:trPr>
        <w:tc>
          <w:tcPr>
            <w:tcW w:w="2289" w:type="dxa"/>
            <w:shd w:val="clear" w:color="auto" w:fill="C5E0B3" w:themeFill="accent6" w:themeFillTint="66"/>
            <w:vAlign w:val="center"/>
          </w:tcPr>
          <w:p w14:paraId="3067530D" w14:textId="77777777" w:rsidR="00F9059C" w:rsidRPr="00586CEC" w:rsidRDefault="00F9059C" w:rsidP="00CE6E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Geography acronym</w:t>
            </w:r>
          </w:p>
        </w:tc>
        <w:tc>
          <w:tcPr>
            <w:tcW w:w="3518" w:type="dxa"/>
            <w:shd w:val="clear" w:color="auto" w:fill="C5E0B3" w:themeFill="accent6" w:themeFillTint="66"/>
            <w:vAlign w:val="center"/>
          </w:tcPr>
          <w:p w14:paraId="06E9F3B7" w14:textId="77777777" w:rsidR="00F9059C" w:rsidRPr="00586CEC" w:rsidRDefault="00F9059C" w:rsidP="00CE6E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Full name</w:t>
            </w:r>
          </w:p>
        </w:tc>
        <w:tc>
          <w:tcPr>
            <w:tcW w:w="2539" w:type="dxa"/>
            <w:shd w:val="clear" w:color="auto" w:fill="C5E0B3" w:themeFill="accent6" w:themeFillTint="66"/>
            <w:vAlign w:val="center"/>
          </w:tcPr>
          <w:p w14:paraId="58376CB9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Number of people*</w:t>
            </w:r>
          </w:p>
        </w:tc>
        <w:tc>
          <w:tcPr>
            <w:tcW w:w="2708" w:type="dxa"/>
            <w:shd w:val="clear" w:color="auto" w:fill="C5E0B3" w:themeFill="accent6" w:themeFillTint="66"/>
            <w:vAlign w:val="center"/>
          </w:tcPr>
          <w:p w14:paraId="6152ECB7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Number of households*</w:t>
            </w:r>
          </w:p>
        </w:tc>
        <w:tc>
          <w:tcPr>
            <w:tcW w:w="3121" w:type="dxa"/>
            <w:shd w:val="clear" w:color="auto" w:fill="C5E0B3" w:themeFill="accent6" w:themeFillTint="66"/>
            <w:vAlign w:val="center"/>
          </w:tcPr>
          <w:p w14:paraId="45501DD1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Number in Calderdale</w:t>
            </w:r>
          </w:p>
        </w:tc>
      </w:tr>
      <w:tr w:rsidR="00F9059C" w:rsidRPr="003F69AB" w14:paraId="20B092EA" w14:textId="77777777" w:rsidTr="000B27E5">
        <w:trPr>
          <w:trHeight w:val="340"/>
        </w:trPr>
        <w:tc>
          <w:tcPr>
            <w:tcW w:w="2289" w:type="dxa"/>
            <w:vAlign w:val="center"/>
          </w:tcPr>
          <w:p w14:paraId="3F7CB721" w14:textId="77777777" w:rsidR="00F9059C" w:rsidRPr="00586CEC" w:rsidRDefault="00F9059C" w:rsidP="00CE6E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OA</w:t>
            </w:r>
          </w:p>
        </w:tc>
        <w:tc>
          <w:tcPr>
            <w:tcW w:w="3518" w:type="dxa"/>
            <w:vAlign w:val="center"/>
          </w:tcPr>
          <w:p w14:paraId="2E8A519E" w14:textId="77777777" w:rsidR="00F9059C" w:rsidRPr="00586CEC" w:rsidRDefault="00F9059C" w:rsidP="00CE6E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Output area</w:t>
            </w:r>
          </w:p>
        </w:tc>
        <w:tc>
          <w:tcPr>
            <w:tcW w:w="2539" w:type="dxa"/>
            <w:vAlign w:val="center"/>
          </w:tcPr>
          <w:p w14:paraId="0B69F211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 to 625</w:t>
            </w:r>
          </w:p>
        </w:tc>
        <w:tc>
          <w:tcPr>
            <w:tcW w:w="2708" w:type="dxa"/>
            <w:vAlign w:val="center"/>
          </w:tcPr>
          <w:p w14:paraId="7A783D94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 to 250</w:t>
            </w:r>
          </w:p>
        </w:tc>
        <w:tc>
          <w:tcPr>
            <w:tcW w:w="3121" w:type="dxa"/>
            <w:vAlign w:val="center"/>
          </w:tcPr>
          <w:p w14:paraId="71DF5AF0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673</w:t>
            </w:r>
          </w:p>
        </w:tc>
      </w:tr>
      <w:tr w:rsidR="00F9059C" w:rsidRPr="003F69AB" w14:paraId="23BDE795" w14:textId="77777777" w:rsidTr="000B27E5">
        <w:trPr>
          <w:trHeight w:val="340"/>
        </w:trPr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3100D9E0" w14:textId="77777777" w:rsidR="00F9059C" w:rsidRPr="00586CEC" w:rsidRDefault="00F9059C" w:rsidP="00CE6E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LSOA</w:t>
            </w:r>
          </w:p>
        </w:tc>
        <w:tc>
          <w:tcPr>
            <w:tcW w:w="3518" w:type="dxa"/>
            <w:tcBorders>
              <w:bottom w:val="single" w:sz="4" w:space="0" w:color="auto"/>
            </w:tcBorders>
            <w:vAlign w:val="center"/>
          </w:tcPr>
          <w:p w14:paraId="08B32911" w14:textId="77777777" w:rsidR="00F9059C" w:rsidRPr="00586CEC" w:rsidRDefault="00F9059C" w:rsidP="00CE6E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layer super output area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5C3B179D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1,000 to 3,000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vAlign w:val="center"/>
          </w:tcPr>
          <w:p w14:paraId="6205C2D7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 to 1,200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14:paraId="1210A606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129</w:t>
            </w:r>
          </w:p>
        </w:tc>
      </w:tr>
      <w:tr w:rsidR="00F9059C" w:rsidRPr="003F69AB" w14:paraId="34CA6780" w14:textId="77777777" w:rsidTr="000B27E5">
        <w:trPr>
          <w:trHeight w:val="34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09D5" w14:textId="77777777" w:rsidR="00F9059C" w:rsidRPr="00586CEC" w:rsidRDefault="00F9059C" w:rsidP="00CE6E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MSOA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0DE4" w14:textId="77777777" w:rsidR="00F9059C" w:rsidRPr="00586CEC" w:rsidRDefault="00F9059C" w:rsidP="00CE6E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Medium layer super output area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1AE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5,000 to 15,000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2F7C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2,000 to 6,000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88A1" w14:textId="77777777" w:rsidR="00F9059C" w:rsidRPr="00586CEC" w:rsidRDefault="00F9059C" w:rsidP="00CE6E4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8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</w:t>
            </w:r>
          </w:p>
        </w:tc>
      </w:tr>
    </w:tbl>
    <w:p w14:paraId="53F15943" w14:textId="77777777" w:rsidR="00F9059C" w:rsidRDefault="00F9059C" w:rsidP="00F9059C">
      <w:pPr>
        <w:rPr>
          <w:rFonts w:ascii="Arial" w:hAnsi="Arial" w:cs="Arial"/>
          <w:sz w:val="16"/>
          <w:szCs w:val="16"/>
        </w:rPr>
      </w:pPr>
    </w:p>
    <w:p w14:paraId="6CFA4F48" w14:textId="77777777" w:rsidR="00F9059C" w:rsidRDefault="00F9059C" w:rsidP="00F9059C">
      <w:pPr>
        <w:rPr>
          <w:rFonts w:ascii="Arial" w:hAnsi="Arial" w:cs="Arial"/>
          <w:sz w:val="16"/>
          <w:szCs w:val="16"/>
        </w:rPr>
      </w:pPr>
      <w:r w:rsidRPr="003F69AB">
        <w:rPr>
          <w:rFonts w:ascii="Arial" w:hAnsi="Arial" w:cs="Arial"/>
          <w:sz w:val="16"/>
          <w:szCs w:val="16"/>
        </w:rPr>
        <w:t>*Census 2021 thresholds</w:t>
      </w:r>
    </w:p>
    <w:p w14:paraId="776ACC74" w14:textId="6694D518" w:rsidR="00F9059C" w:rsidRDefault="00F9059C" w:rsidP="007749A9">
      <w:pPr>
        <w:rPr>
          <w:rFonts w:ascii="Arial" w:hAnsi="Arial" w:cs="Arial"/>
          <w:sz w:val="20"/>
          <w:szCs w:val="20"/>
        </w:rPr>
        <w:sectPr w:rsidR="00F9059C" w:rsidSect="000B27E5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452" w:type="dxa"/>
        <w:tblLook w:val="04A0" w:firstRow="1" w:lastRow="0" w:firstColumn="1" w:lastColumn="0" w:noHBand="0" w:noVBand="1"/>
      </w:tblPr>
      <w:tblGrid>
        <w:gridCol w:w="8773"/>
        <w:gridCol w:w="939"/>
        <w:gridCol w:w="895"/>
        <w:gridCol w:w="939"/>
        <w:gridCol w:w="895"/>
        <w:gridCol w:w="1061"/>
        <w:gridCol w:w="950"/>
      </w:tblGrid>
      <w:tr w:rsidR="00AC6BBB" w:rsidRPr="00AC6BBB" w14:paraId="4DBAD638" w14:textId="77777777" w:rsidTr="00AC6BBB">
        <w:trPr>
          <w:trHeight w:val="284"/>
        </w:trPr>
        <w:tc>
          <w:tcPr>
            <w:tcW w:w="14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678088" w14:textId="242146EB" w:rsidR="00AC6BBB" w:rsidRPr="00AC6BBB" w:rsidRDefault="006331AC" w:rsidP="00AC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Table 2a: </w:t>
            </w:r>
            <w:r w:rsidR="00AC6BBB" w:rsidRPr="00AC6B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Number and proportion of Calderdale usual residents aged 16 and older who are economically active and inactive compared to West Yorkshire and England</w:t>
            </w:r>
            <w:r w:rsidR="00AC6BBB"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C6BBB" w:rsidRPr="00AC6BBB" w14:paraId="7BF8B32B" w14:textId="77777777" w:rsidTr="00AC6BBB">
        <w:trPr>
          <w:trHeight w:val="284"/>
        </w:trPr>
        <w:tc>
          <w:tcPr>
            <w:tcW w:w="87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4DF365C" w14:textId="77777777" w:rsidR="00AC6BBB" w:rsidRPr="00AC6BBB" w:rsidRDefault="00AC6BBB" w:rsidP="00AC6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14:paraId="13B90314" w14:textId="62354442" w:rsidR="00AC6BBB" w:rsidRPr="00AC6BBB" w:rsidRDefault="00AC6BBB" w:rsidP="00AC6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Economic activity status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B7DCD9" w14:textId="77777777" w:rsidR="00AC6BBB" w:rsidRPr="00AC6BBB" w:rsidRDefault="00AC6BBB" w:rsidP="00AC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Calderdale Census 2011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A04EB8" w14:textId="77777777" w:rsidR="00AC6BBB" w:rsidRPr="00AC6BBB" w:rsidRDefault="00AC6BBB" w:rsidP="00AC6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Census 2021</w:t>
            </w:r>
          </w:p>
        </w:tc>
      </w:tr>
      <w:tr w:rsidR="00AC6BBB" w:rsidRPr="00AC6BBB" w14:paraId="7F10B2BA" w14:textId="77777777" w:rsidTr="00AC6BBB">
        <w:trPr>
          <w:trHeight w:val="284"/>
        </w:trPr>
        <w:tc>
          <w:tcPr>
            <w:tcW w:w="8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FE8005" w14:textId="277F9761" w:rsidR="00AC6BBB" w:rsidRPr="00AC6BBB" w:rsidRDefault="00AC6BBB" w:rsidP="00AC6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FBFC" w14:textId="77777777" w:rsidR="00AC6BBB" w:rsidRPr="00AC6BBB" w:rsidRDefault="00AC6BBB" w:rsidP="00AC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ACC6EB" w14:textId="77777777" w:rsidR="00AC6BBB" w:rsidRPr="00AC6BBB" w:rsidRDefault="00AC6BBB" w:rsidP="00AC6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Calderdale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57ED15" w14:textId="77777777" w:rsidR="00AC6BBB" w:rsidRPr="00AC6BBB" w:rsidRDefault="00AC6BBB" w:rsidP="00AC6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West Yorkshire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2EEB97" w14:textId="77777777" w:rsidR="00AC6BBB" w:rsidRPr="00AC6BBB" w:rsidRDefault="00AC6BBB" w:rsidP="00AC6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England</w:t>
            </w:r>
          </w:p>
        </w:tc>
      </w:tr>
      <w:tr w:rsidR="00AC6BBB" w:rsidRPr="00AC6BBB" w14:paraId="52EF256A" w14:textId="77777777" w:rsidTr="00AC6BBB">
        <w:trPr>
          <w:trHeight w:val="284"/>
        </w:trPr>
        <w:tc>
          <w:tcPr>
            <w:tcW w:w="8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9696" w14:textId="77777777" w:rsidR="00AC6BBB" w:rsidRPr="00AC6BBB" w:rsidRDefault="00AC6BBB" w:rsidP="00AC6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8ECCA2" w14:textId="77777777" w:rsidR="00AC6BBB" w:rsidRPr="00AC6BBB" w:rsidRDefault="00AC6BBB" w:rsidP="00AC6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4D6262" w14:textId="77777777" w:rsidR="00AC6BBB" w:rsidRPr="00AC6BBB" w:rsidRDefault="00AC6BBB" w:rsidP="00AC6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C40312" w14:textId="77777777" w:rsidR="00AC6BBB" w:rsidRPr="00AC6BBB" w:rsidRDefault="00AC6BBB" w:rsidP="00AC6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B6AF96" w14:textId="77777777" w:rsidR="00AC6BBB" w:rsidRPr="00AC6BBB" w:rsidRDefault="00AC6BBB" w:rsidP="00AC6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7B1CD5" w14:textId="77777777" w:rsidR="00AC6BBB" w:rsidRPr="00AC6BBB" w:rsidRDefault="00AC6BBB" w:rsidP="00AC6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0DDD49" w14:textId="77777777" w:rsidR="00AC6BBB" w:rsidRPr="00AC6BBB" w:rsidRDefault="00AC6BBB" w:rsidP="00AC6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6331AC" w:rsidRPr="00AC6BBB" w14:paraId="6E3CE897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42ED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(excluding full-time students)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5BC3" w14:textId="48E45A73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101,425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FD44" w14:textId="6499424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62%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E0BC" w14:textId="006D1D9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96,063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84A1" w14:textId="47771912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58%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09E7" w14:textId="70D408A6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57%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AE99" w14:textId="2B91227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59%</w:t>
            </w:r>
          </w:p>
        </w:tc>
      </w:tr>
      <w:tr w:rsidR="006331AC" w:rsidRPr="00AC6BBB" w14:paraId="637673A4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CDDC" w14:textId="30F15878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(excluding full-time students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): In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employment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4511" w14:textId="6A20D8A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94,025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7656" w14:textId="57E4C58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57%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C749" w14:textId="4440097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91,348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3A13" w14:textId="431F2D41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55%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BCCD" w14:textId="16D52AC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54%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CC68" w14:textId="0E02A2EB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56%</w:t>
            </w:r>
          </w:p>
        </w:tc>
      </w:tr>
      <w:tr w:rsidR="006331AC" w:rsidRPr="00AC6BBB" w14:paraId="588E7C1D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4DD1" w14:textId="00A835FA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(excluding full-time students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): In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employment: Employee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32B3" w14:textId="6B60A372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ECD2" w14:textId="2DCC3926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0E6D" w14:textId="747BC56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76,339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5925" w14:textId="7C9A70A1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46%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A959" w14:textId="60EEEF28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46%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8B0F" w14:textId="1326A99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46%</w:t>
            </w:r>
          </w:p>
        </w:tc>
      </w:tr>
      <w:tr w:rsidR="006331AC" w:rsidRPr="00AC6BBB" w14:paraId="57EB79A1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512E" w14:textId="05AD77B9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(excluding full-time students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): In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employment: Self-employed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3A16" w14:textId="1116F438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38E2" w14:textId="7EA53F39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F63E" w14:textId="12844F0E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6E94" w14:textId="4D1910C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1D9A" w14:textId="6A86AF33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5DE8" w14:textId="2243FD0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6331AC" w:rsidRPr="00AC6BBB" w14:paraId="19461B21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ED73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(excluding full-time students): Unemployed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5E6C" w14:textId="56FEA7BE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7,400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22A2" w14:textId="07DD27D1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930B" w14:textId="0F3DFCF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4,715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DFF1" w14:textId="1CAEB24C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FD50" w14:textId="568B6F9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BAF5" w14:textId="7D55646B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</w:tr>
      <w:tr w:rsidR="006331AC" w:rsidRPr="00AC6BBB" w14:paraId="78447917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7776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and a full-time student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C5BB" w14:textId="5292367E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64F0" w14:textId="3F286A6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0209" w14:textId="283F2B06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2,692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EB9D" w14:textId="486E90C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9F6E" w14:textId="6F2B624A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1E0B" w14:textId="73205C1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6331AC" w:rsidRPr="00AC6BBB" w14:paraId="511F151D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532D" w14:textId="763E706E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Economically active and a full-time 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student: In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employment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CDE0" w14:textId="786E759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3,038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CCD6" w14:textId="3313803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0C01" w14:textId="40523BA6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2,034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492C" w14:textId="4C57240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E96A" w14:textId="473C3E48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457A" w14:textId="1F1C4CAA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6331AC" w:rsidRPr="00AC6BBB" w14:paraId="5C919447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D16D" w14:textId="0D87A471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Economically active and a full-time 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student: In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employment: Employee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1EE9" w14:textId="2A90B67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A218" w14:textId="0F8DB8D1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3734" w14:textId="23E3F3D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1,929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A07B" w14:textId="7927E97C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594F" w14:textId="1322855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289B" w14:textId="0CE6B886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6331AC" w:rsidRPr="00AC6BBB" w14:paraId="6679C7A0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5D0E" w14:textId="1728936D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Economically active and a full-time 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student: In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employment: Self-employed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C632" w14:textId="1295D11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130E" w14:textId="18766AF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BDFA" w14:textId="161EC5B2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FB03" w14:textId="6050EE3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57BC" w14:textId="13F6B0E2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C999" w14:textId="019877EA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6331AC" w:rsidRPr="00AC6BBB" w14:paraId="3374E128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252E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and a full-time student: Unemployed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50AB" w14:textId="2D753A76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854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8CBC" w14:textId="7E0FDD28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CF42" w14:textId="587A50E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CAF9" w14:textId="2BACEBF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B4E9" w14:textId="34DCFC4C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0B44" w14:textId="3329E4C2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6331AC" w:rsidRPr="00AC6BBB" w14:paraId="656E37D0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0E0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inactive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B6F1" w14:textId="664923F8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58,328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2606" w14:textId="56083DD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36%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924A" w14:textId="732C6DC0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67,879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001E" w14:textId="377B450B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41%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5391" w14:textId="238C4D56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41%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542" w14:textId="361FF950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39%</w:t>
            </w:r>
          </w:p>
        </w:tc>
      </w:tr>
      <w:tr w:rsidR="006331AC" w:rsidRPr="00AC6BBB" w14:paraId="492C19EF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014D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inactive: Retired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BF8B" w14:textId="7FFD7BB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36,376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DF6F" w14:textId="6832D858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22%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780C" w14:textId="5634A783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39,136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2C38" w14:textId="709FFDA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1B3D" w14:textId="6AED13E5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C429" w14:textId="273B8682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21%</w:t>
            </w:r>
          </w:p>
        </w:tc>
      </w:tr>
      <w:tr w:rsidR="006331AC" w:rsidRPr="00AC6BBB" w14:paraId="24E42D94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B2C7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inactive: Student (including full time students)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44AC" w14:textId="7BC31898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6,168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6628" w14:textId="64247D0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E70B" w14:textId="776BB374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7,171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7B05" w14:textId="4A101608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497B" w14:textId="749DA20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C547" w14:textId="7E3D51E2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6%</w:t>
            </w:r>
          </w:p>
        </w:tc>
      </w:tr>
      <w:tr w:rsidR="006331AC" w:rsidRPr="00AC6BBB" w14:paraId="100162D0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591C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inactive: Looking after home or family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78EA" w14:textId="3EEE4493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5,873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7882" w14:textId="2EBA7C5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E25B" w14:textId="4EF814F2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8,074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6957" w14:textId="5873AAF3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15DB" w14:textId="7BC5C305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57F0" w14:textId="2667858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6331AC" w:rsidRPr="00AC6BBB" w14:paraId="64E233C4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8A20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inactive: Long-term sick or disabled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A8D2" w14:textId="2B730581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6,675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46CD" w14:textId="7CCC8F2B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D707" w14:textId="0446660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8,179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F5FF" w14:textId="68B300E4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F1EE" w14:textId="544C240A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1D71" w14:textId="529FAFDC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4%</w:t>
            </w:r>
          </w:p>
        </w:tc>
      </w:tr>
      <w:tr w:rsidR="006331AC" w:rsidRPr="00AC6BBB" w14:paraId="27DBCA17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DD7D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inactive: Other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E4D9" w14:textId="204811E6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3,236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038B" w14:textId="374AA15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B381" w14:textId="0EF49C42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5,319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24B1" w14:textId="0622A8E0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896B" w14:textId="1A7CDFE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B606" w14:textId="6BFB62DC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</w:tr>
      <w:tr w:rsidR="006331AC" w:rsidRPr="00AC6BBB" w14:paraId="7CDBD758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99E4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Total: All usual residents aged 16 years and over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88E3" w14:textId="4A34F40C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163,645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3C3" w14:textId="0204CC40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CBA0" w14:textId="138CD70B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166,634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A686" w14:textId="4FE3043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1DA6" w14:textId="10E701EA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4145" w14:textId="26407A98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6331AC" w:rsidRPr="00AC6BBB" w14:paraId="15641DDC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3EA9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(including full-time students)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9E42" w14:textId="689B6380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105,317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FAAE" w14:textId="708E210C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64%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C199" w14:textId="0D15FE34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98,755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E2FF" w14:textId="016FB74C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59%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375D" w14:textId="2B5C788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59%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C5BF" w14:textId="413EB9F8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61%</w:t>
            </w:r>
          </w:p>
        </w:tc>
      </w:tr>
      <w:tr w:rsidR="006331AC" w:rsidRPr="00AC6BBB" w14:paraId="072C489F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42EF" w14:textId="29D96DB2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(including full-time students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): In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employment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A5A4" w14:textId="7582DE72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97,063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DBF" w14:textId="6EFBF7F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59%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B8ED" w14:textId="62A8F051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93,382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558E" w14:textId="68737C8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56%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135C" w14:textId="39606C1B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55%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841E" w14:textId="3F9B72C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57%</w:t>
            </w:r>
          </w:p>
        </w:tc>
      </w:tr>
      <w:tr w:rsidR="006331AC" w:rsidRPr="00AC6BBB" w14:paraId="305347FB" w14:textId="77777777" w:rsidTr="00AC6BBB">
        <w:trPr>
          <w:trHeight w:val="284"/>
        </w:trPr>
        <w:tc>
          <w:tcPr>
            <w:tcW w:w="8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A772" w14:textId="25E4B975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(including full-time students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): In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employment: Employee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9648" w14:textId="3256CBA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2823" w14:textId="48FE9E9A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BAC8" w14:textId="76FF0E52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78,268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4C12" w14:textId="6099F2FC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47%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17F8" w14:textId="12C51F8E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47%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5F3C" w14:textId="6A84F8A0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48%</w:t>
            </w:r>
          </w:p>
        </w:tc>
      </w:tr>
      <w:tr w:rsidR="006331AC" w:rsidRPr="00AC6BBB" w14:paraId="343FC947" w14:textId="77777777" w:rsidTr="00AC6BBB">
        <w:trPr>
          <w:trHeight w:val="284"/>
        </w:trPr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3118" w14:textId="16045C7C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(including full-time students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): In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employment: Self-employed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0F14" w14:textId="46883BB3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564C" w14:textId="5859A627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67E5" w14:textId="1FCA97A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15,114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7E34" w14:textId="66BD2D2F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9%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6BB4" w14:textId="5098026D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B7EC" w14:textId="46EA48DB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6331AC" w:rsidRPr="00AC6BBB" w14:paraId="4ECAAFA8" w14:textId="77777777" w:rsidTr="00AC6BBB">
        <w:trPr>
          <w:trHeight w:val="284"/>
        </w:trPr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7C0B" w14:textId="77777777" w:rsidR="006331AC" w:rsidRPr="00AC6BBB" w:rsidRDefault="006331AC" w:rsidP="00633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Economically active (including full-time students): Unemployed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5DE8" w14:textId="1FDC39F8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8,254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51B0" w14:textId="072AD8C3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C6ED" w14:textId="1D2F40D3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5,373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318F" w14:textId="1B578629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3562" w14:textId="51050A01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4%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C2F3" w14:textId="29EAA221" w:rsidR="006331AC" w:rsidRPr="00AC6BBB" w:rsidRDefault="006331AC" w:rsidP="006331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</w:tr>
      <w:tr w:rsidR="00AC6BBB" w:rsidRPr="00AC6BBB" w14:paraId="685A6662" w14:textId="77777777" w:rsidTr="00AC6BBB">
        <w:trPr>
          <w:trHeight w:val="284"/>
        </w:trPr>
        <w:tc>
          <w:tcPr>
            <w:tcW w:w="14452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6BA9B6" w14:textId="046B3022" w:rsidR="00AC6BBB" w:rsidRPr="00AC6BBB" w:rsidRDefault="00AC6BBB" w:rsidP="00AC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C6B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Data sources: 1) Census 2011 tables DC6108EW and DC6107EW 2) Census 2021 table T066, accessed 16 January 2023</w:t>
            </w:r>
          </w:p>
        </w:tc>
      </w:tr>
    </w:tbl>
    <w:p w14:paraId="10B3DE4B" w14:textId="32CB5849" w:rsidR="00AC6BBB" w:rsidRDefault="00AC6B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E06A909" w14:textId="77777777" w:rsidR="00F40FD0" w:rsidRDefault="00F40FD0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3912"/>
        <w:gridCol w:w="1774"/>
        <w:gridCol w:w="1774"/>
        <w:gridCol w:w="1775"/>
        <w:gridCol w:w="1775"/>
        <w:gridCol w:w="1775"/>
        <w:gridCol w:w="1775"/>
      </w:tblGrid>
      <w:tr w:rsidR="00F40FD0" w:rsidRPr="00F40FD0" w14:paraId="47093FF6" w14:textId="77777777" w:rsidTr="00F40FD0">
        <w:trPr>
          <w:trHeight w:val="440"/>
        </w:trPr>
        <w:tc>
          <w:tcPr>
            <w:tcW w:w="17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8713A3" w14:textId="43D269E3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Table </w:t>
            </w:r>
            <w:r w:rsidR="00D21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2b</w:t>
            </w:r>
            <w:r w:rsidRPr="00F40F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: Number and proportion of residents aged 16 and older by hours worked in Calderdale compared with West Yorkshire and England</w:t>
            </w:r>
          </w:p>
        </w:tc>
      </w:tr>
      <w:tr w:rsidR="00F40FD0" w:rsidRPr="00F40FD0" w14:paraId="19439B65" w14:textId="77777777" w:rsidTr="00F40FD0">
        <w:trPr>
          <w:trHeight w:val="250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E7A1D9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text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938E7BB" w14:textId="77777777" w:rsidR="00F40FD0" w:rsidRPr="00F40FD0" w:rsidRDefault="00F40FD0" w:rsidP="00F40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Calderdale Census 2011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1EF256" w14:textId="77777777" w:rsidR="00F40FD0" w:rsidRPr="00F40FD0" w:rsidRDefault="00F40FD0" w:rsidP="00F40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Census 2021</w:t>
            </w:r>
          </w:p>
        </w:tc>
      </w:tr>
      <w:tr w:rsidR="00F40FD0" w:rsidRPr="00F40FD0" w14:paraId="24735134" w14:textId="77777777" w:rsidTr="00F40FD0">
        <w:trPr>
          <w:trHeight w:val="250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367A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B66A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D60761" w14:textId="77777777" w:rsidR="00F40FD0" w:rsidRPr="00F40FD0" w:rsidRDefault="00F40FD0" w:rsidP="00F40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Calderdale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3E5EC47" w14:textId="77777777" w:rsidR="00F40FD0" w:rsidRPr="00F40FD0" w:rsidRDefault="00F40FD0" w:rsidP="00F40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West Yorkshire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A64A0B" w14:textId="77777777" w:rsidR="00F40FD0" w:rsidRPr="00F40FD0" w:rsidRDefault="00F40FD0" w:rsidP="00F40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England</w:t>
            </w:r>
          </w:p>
        </w:tc>
      </w:tr>
      <w:tr w:rsidR="00F40FD0" w:rsidRPr="00F40FD0" w14:paraId="30741FE7" w14:textId="77777777" w:rsidTr="00F40FD0">
        <w:trPr>
          <w:trHeight w:val="250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FD1F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41882C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11C7D8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2C645D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1314C8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1131B2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4AC48DE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F40FD0" w:rsidRPr="00F40FD0" w14:paraId="3BA22D1E" w14:textId="77777777" w:rsidTr="00F40FD0">
        <w:trPr>
          <w:trHeight w:val="3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9DAF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Part-time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2853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28,634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EBC4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A274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29,156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3DD7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4B0F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2BEE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30%</w:t>
            </w:r>
          </w:p>
        </w:tc>
      </w:tr>
      <w:tr w:rsidR="00F40FD0" w:rsidRPr="00F40FD0" w14:paraId="4D1A875D" w14:textId="77777777" w:rsidTr="00F40FD0">
        <w:trPr>
          <w:trHeight w:val="3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1B4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Part-time: 15 hours or less worked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4D03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8,160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1EAB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50E6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9,199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6C09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5EFF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52A6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10%</w:t>
            </w:r>
          </w:p>
        </w:tc>
      </w:tr>
      <w:tr w:rsidR="00F40FD0" w:rsidRPr="00F40FD0" w14:paraId="4EAEB100" w14:textId="77777777" w:rsidTr="00F40FD0">
        <w:trPr>
          <w:trHeight w:val="3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EB8E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Part-time: 16 to 30 hours worked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6839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20,474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310B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40C5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19,957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B43D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4681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7B22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19%</w:t>
            </w:r>
          </w:p>
        </w:tc>
      </w:tr>
      <w:tr w:rsidR="00F40FD0" w:rsidRPr="00F40FD0" w14:paraId="53DFA752" w14:textId="77777777" w:rsidTr="00F40FD0">
        <w:trPr>
          <w:trHeight w:val="3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2B56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Full-time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5005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68,011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9820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70%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1F6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64,225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FF5E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69%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7C83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69%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6C60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70%</w:t>
            </w:r>
          </w:p>
        </w:tc>
      </w:tr>
      <w:tr w:rsidR="00F40FD0" w:rsidRPr="00F40FD0" w14:paraId="58D51AAF" w14:textId="77777777" w:rsidTr="00F40FD0">
        <w:trPr>
          <w:trHeight w:val="3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C5C9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Full-time: 31 to 48 hours worked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976C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56,992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D730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59%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14D2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55,532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819A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59%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A518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61%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73BE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59%</w:t>
            </w:r>
          </w:p>
        </w:tc>
      </w:tr>
      <w:tr w:rsidR="00F40FD0" w:rsidRPr="00F40FD0" w14:paraId="5997A678" w14:textId="77777777" w:rsidTr="00F40FD0">
        <w:trPr>
          <w:trHeight w:val="3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A38A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Full-time: 49 or more hours worked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9131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11,019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D726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AF30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8,693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8ADE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5CF7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1BF0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11%</w:t>
            </w:r>
          </w:p>
        </w:tc>
      </w:tr>
      <w:tr w:rsidR="00F40FD0" w:rsidRPr="00F40FD0" w14:paraId="60108370" w14:textId="77777777" w:rsidTr="00F40FD0">
        <w:trPr>
          <w:trHeight w:val="68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3318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Total: All usual residents aged 16 to 74 in employment the week before the census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EFF8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96,645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C52C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1F26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B971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E637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8E5E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40FD0" w:rsidRPr="00F40FD0" w14:paraId="1419DEBA" w14:textId="77777777" w:rsidTr="00F40FD0">
        <w:trPr>
          <w:trHeight w:val="68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50FA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Total: All usual residents aged 16 years and over in employment the week before the census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793D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DAB8" w14:textId="77777777" w:rsidR="00F40FD0" w:rsidRPr="00F40FD0" w:rsidRDefault="00F40FD0" w:rsidP="00F4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C293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93,381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5374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38A5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F1ED" w14:textId="77777777" w:rsidR="00F40FD0" w:rsidRPr="00F40FD0" w:rsidRDefault="00F40FD0" w:rsidP="00F40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</w:tr>
      <w:tr w:rsidR="00F40FD0" w:rsidRPr="00F40FD0" w14:paraId="1F5FE291" w14:textId="77777777" w:rsidTr="00F40FD0">
        <w:trPr>
          <w:trHeight w:val="600"/>
        </w:trPr>
        <w:tc>
          <w:tcPr>
            <w:tcW w:w="17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6650F" w14:textId="4413895D" w:rsidR="00F40FD0" w:rsidRPr="00F40FD0" w:rsidRDefault="00F40FD0" w:rsidP="00F4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40F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sources: 1) Census 2011 table KS604EW.  2) Census 2021 table TS059.  c/o www.nomisweb.co.uk accessed 8 December 2022</w:t>
            </w:r>
          </w:p>
        </w:tc>
      </w:tr>
    </w:tbl>
    <w:p w14:paraId="16B10A4A" w14:textId="46F3C405" w:rsidR="00977D2A" w:rsidRDefault="00977D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6925"/>
        <w:gridCol w:w="1326"/>
        <w:gridCol w:w="1179"/>
        <w:gridCol w:w="1303"/>
        <w:gridCol w:w="931"/>
        <w:gridCol w:w="1747"/>
        <w:gridCol w:w="1331"/>
      </w:tblGrid>
      <w:tr w:rsidR="000925F1" w:rsidRPr="000925F1" w14:paraId="402A18A4" w14:textId="77777777" w:rsidTr="000925F1">
        <w:trPr>
          <w:trHeight w:val="44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8DC22A6" w14:textId="4C39FC88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Table 3</w:t>
            </w:r>
            <w:r w:rsidR="00286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Pr="00092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: Number and proportion of Calderdale residents who are employed by industry of employment compared to West Yorkshire and England</w:t>
            </w:r>
          </w:p>
        </w:tc>
      </w:tr>
      <w:tr w:rsidR="000B27E5" w:rsidRPr="000925F1" w14:paraId="0D9C1E0C" w14:textId="77777777" w:rsidTr="000925F1">
        <w:trPr>
          <w:trHeight w:val="250"/>
        </w:trPr>
        <w:tc>
          <w:tcPr>
            <w:tcW w:w="6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00195B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Industry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0D9805D" w14:textId="77777777" w:rsidR="000925F1" w:rsidRPr="000925F1" w:rsidRDefault="000925F1" w:rsidP="00092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Calderdale Census 2011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1E547E" w14:textId="77777777" w:rsidR="000925F1" w:rsidRPr="000925F1" w:rsidRDefault="000925F1" w:rsidP="00092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Census 2021</w:t>
            </w:r>
          </w:p>
        </w:tc>
      </w:tr>
      <w:tr w:rsidR="000925F1" w:rsidRPr="000925F1" w14:paraId="38058988" w14:textId="77777777" w:rsidTr="000925F1">
        <w:trPr>
          <w:trHeight w:val="250"/>
        </w:trPr>
        <w:tc>
          <w:tcPr>
            <w:tcW w:w="6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75A5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1920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C7C6D4" w14:textId="77777777" w:rsidR="000925F1" w:rsidRPr="000925F1" w:rsidRDefault="000925F1" w:rsidP="00092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Calderdale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23838F" w14:textId="77777777" w:rsidR="000925F1" w:rsidRPr="000925F1" w:rsidRDefault="000925F1" w:rsidP="00092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West Yorkshire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C7B0F45" w14:textId="77777777" w:rsidR="000925F1" w:rsidRPr="000925F1" w:rsidRDefault="000925F1" w:rsidP="00092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England</w:t>
            </w:r>
          </w:p>
        </w:tc>
      </w:tr>
      <w:tr w:rsidR="000925F1" w:rsidRPr="000925F1" w14:paraId="7FCEA07E" w14:textId="77777777" w:rsidTr="000925F1">
        <w:trPr>
          <w:trHeight w:val="250"/>
        </w:trPr>
        <w:tc>
          <w:tcPr>
            <w:tcW w:w="6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FA7A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8AEC85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5A067C2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5B9553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0713B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48C538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6D7282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0925F1" w:rsidRPr="000925F1" w14:paraId="481A0B6E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F59D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Agriculture, forestry and fishing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5AF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2BF1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B7F4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1210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C48F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6622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0.8%</w:t>
            </w:r>
          </w:p>
        </w:tc>
      </w:tr>
      <w:tr w:rsidR="000925F1" w:rsidRPr="000925F1" w14:paraId="0052311F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5613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 Mining and quarrying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EBF2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82F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5F0E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526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0.2%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5413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0CC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0.2%</w:t>
            </w:r>
          </w:p>
        </w:tc>
      </w:tr>
      <w:tr w:rsidR="000925F1" w:rsidRPr="000925F1" w14:paraId="1A08D161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2B48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 Manufacturing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4BC4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6190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13.3%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B67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9,139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EC50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9.8%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A74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8.8%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567D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7.3%</w:t>
            </w:r>
          </w:p>
        </w:tc>
      </w:tr>
      <w:tr w:rsidR="000925F1" w:rsidRPr="000925F1" w14:paraId="10032EBB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3327" w14:textId="1F39F2C1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 Electricity, gas, </w:t>
            </w:r>
            <w:r w:rsidR="00560291"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steam,</w:t>
            </w: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air conditioning supply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52DB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86C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DB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FE9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E5A3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5E94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0.6%</w:t>
            </w:r>
          </w:p>
        </w:tc>
      </w:tr>
      <w:tr w:rsidR="000925F1" w:rsidRPr="000925F1" w14:paraId="3BD9B1DF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830A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 Water supply; sewerage, waste management and remediation activities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FEEF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EAAC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85C6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ED1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AEB3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E1F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0.7%</w:t>
            </w:r>
          </w:p>
        </w:tc>
      </w:tr>
      <w:tr w:rsidR="000925F1" w:rsidRPr="000925F1" w14:paraId="2FED5572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9C7E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 Construction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5781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7,597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BF83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7.9%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E1A6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8,352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8E13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8.9%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308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7.9%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C7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8.7%</w:t>
            </w:r>
          </w:p>
        </w:tc>
      </w:tr>
      <w:tr w:rsidR="000925F1" w:rsidRPr="000925F1" w14:paraId="4F9EE75C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C5B0" w14:textId="2B3B6D94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 Wholesale and retail trade; repair of motor vehicles and motorcycles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D186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BA54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14.6%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E847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14,400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DBBD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15.4%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A385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16.8%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188F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15.0%</w:t>
            </w:r>
          </w:p>
        </w:tc>
      </w:tr>
      <w:tr w:rsidR="000925F1" w:rsidRPr="000925F1" w14:paraId="05C97060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A438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 Transport and storage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AC1F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E872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3.9%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651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3,675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E783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3.9%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709F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4A0C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5.0%</w:t>
            </w:r>
          </w:p>
        </w:tc>
      </w:tr>
      <w:tr w:rsidR="000925F1" w:rsidRPr="000925F1" w14:paraId="63565111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C754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 Accommodation and food service activities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9AAF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1C1D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4.4%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DFF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3,756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640C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F3F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B2EE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4.9%</w:t>
            </w:r>
          </w:p>
        </w:tc>
      </w:tr>
      <w:tr w:rsidR="000925F1" w:rsidRPr="000925F1" w14:paraId="73A4C16B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D5B7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 Information and communication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8D7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1314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2.7%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CD72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2,996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4675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3.2%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F19D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3.5%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D83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4.7%</w:t>
            </w:r>
          </w:p>
        </w:tc>
      </w:tr>
      <w:tr w:rsidR="000925F1" w:rsidRPr="000925F1" w14:paraId="701EA5A8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275A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 Financial and insurance activities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660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7,678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80F0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7.9%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256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5,850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567C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6.3%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9A02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4.2%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F2B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3.8%</w:t>
            </w:r>
          </w:p>
        </w:tc>
      </w:tr>
      <w:tr w:rsidR="000925F1" w:rsidRPr="000925F1" w14:paraId="2FE05F99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00EF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 Real estate activities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C80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DABB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1.3%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337E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1,365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307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B202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1.3%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A99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1.6%</w:t>
            </w:r>
          </w:p>
        </w:tc>
      </w:tr>
      <w:tr w:rsidR="000925F1" w:rsidRPr="000925F1" w14:paraId="6DD21947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500A" w14:textId="4AEF1F3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 Professional, </w:t>
            </w:r>
            <w:r w:rsidR="00AC0B6A"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scientific,</w:t>
            </w: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technical activities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7934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BD7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4.9%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8EE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4,817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9D8C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5.2%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C51F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5.7%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181E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6.7%</w:t>
            </w:r>
          </w:p>
        </w:tc>
      </w:tr>
      <w:tr w:rsidR="000925F1" w:rsidRPr="000925F1" w14:paraId="35289AC3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A597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 Administrative and support service activities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61CD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E6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4.0%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EC36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3,967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CB0D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4.2%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A03F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414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5.3%</w:t>
            </w:r>
          </w:p>
        </w:tc>
      </w:tr>
      <w:tr w:rsidR="000925F1" w:rsidRPr="000925F1" w14:paraId="17FB7181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ED60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 Public administration and defence; compulsory social security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611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B92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5.3%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B3CF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5,114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E8E3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1A65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4492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5.8%</w:t>
            </w:r>
          </w:p>
        </w:tc>
      </w:tr>
      <w:tr w:rsidR="000925F1" w:rsidRPr="000925F1" w14:paraId="4F469A38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1AE3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 Education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32B4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51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10.9%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CD61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10,251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DCE7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5B83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10.3%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A960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9.9%</w:t>
            </w:r>
          </w:p>
        </w:tc>
      </w:tr>
      <w:tr w:rsidR="000925F1" w:rsidRPr="000925F1" w14:paraId="3F3E1CBB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4815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 Human health and social work activities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437D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07E6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D533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13,903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ECC7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14.9%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73AD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15.2%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5E1B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14.6%</w:t>
            </w:r>
          </w:p>
        </w:tc>
      </w:tr>
      <w:tr w:rsidR="000925F1" w:rsidRPr="000925F1" w14:paraId="3907562C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391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R, S, T, U Other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6F26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FDF7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4.2%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BBA0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4,096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F39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4.4%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DB7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6ED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4.6%</w:t>
            </w:r>
          </w:p>
        </w:tc>
      </w:tr>
      <w:tr w:rsidR="000925F1" w:rsidRPr="000925F1" w14:paraId="713B8537" w14:textId="77777777" w:rsidTr="000925F1">
        <w:trPr>
          <w:trHeight w:val="3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99A4" w14:textId="77777777" w:rsidR="000925F1" w:rsidRPr="000925F1" w:rsidRDefault="000925F1" w:rsidP="00092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categories: Industry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299B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96,645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F0E8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C6B4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93,381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B9BC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530A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7649" w14:textId="77777777" w:rsidR="000925F1" w:rsidRPr="000925F1" w:rsidRDefault="000925F1" w:rsidP="00092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</w:tr>
      <w:tr w:rsidR="000925F1" w:rsidRPr="000925F1" w14:paraId="7F7D0741" w14:textId="77777777" w:rsidTr="000925F1">
        <w:trPr>
          <w:trHeight w:val="454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B77D6ED" w14:textId="00A5C6B5" w:rsidR="000925F1" w:rsidRPr="000925F1" w:rsidRDefault="000925F1" w:rsidP="0009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925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sources: 1) Census 2011 table KS605EW.  2) Census 2021 table TS060.  c/o www.nomisweb.co.uk accessed 8 December 2022</w:t>
            </w:r>
          </w:p>
        </w:tc>
      </w:tr>
    </w:tbl>
    <w:p w14:paraId="12FD30CE" w14:textId="243273BE" w:rsidR="00093CF8" w:rsidRDefault="00093CF8" w:rsidP="007749A9">
      <w:pPr>
        <w:rPr>
          <w:rFonts w:ascii="Arial" w:hAnsi="Arial" w:cs="Arial"/>
          <w:sz w:val="20"/>
          <w:szCs w:val="20"/>
        </w:rPr>
      </w:pPr>
    </w:p>
    <w:p w14:paraId="32FCD4DF" w14:textId="77777777" w:rsidR="00D2189B" w:rsidRDefault="00D218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6374"/>
        <w:gridCol w:w="1559"/>
        <w:gridCol w:w="993"/>
        <w:gridCol w:w="1275"/>
        <w:gridCol w:w="993"/>
        <w:gridCol w:w="1701"/>
        <w:gridCol w:w="1280"/>
      </w:tblGrid>
      <w:tr w:rsidR="00D2189B" w:rsidRPr="00D2189B" w14:paraId="2294F0F4" w14:textId="77777777" w:rsidTr="0048232F">
        <w:trPr>
          <w:trHeight w:val="454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66D8505" w14:textId="50EC901A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Table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3b</w:t>
            </w:r>
            <w:r w:rsidRPr="00D21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: Number and proportion of Calderdale residents by occupation compared to West Yorkshire and England</w:t>
            </w:r>
          </w:p>
        </w:tc>
      </w:tr>
      <w:tr w:rsidR="00D2189B" w:rsidRPr="00D2189B" w14:paraId="5C1824D9" w14:textId="77777777" w:rsidTr="00D2189B">
        <w:trPr>
          <w:trHeight w:val="250"/>
        </w:trPr>
        <w:tc>
          <w:tcPr>
            <w:tcW w:w="6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EC75D7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Occupation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719198" w14:textId="77777777" w:rsidR="00D2189B" w:rsidRPr="00D2189B" w:rsidRDefault="00D2189B" w:rsidP="00D2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Calderdale Census 2011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EB61EA" w14:textId="77777777" w:rsidR="00D2189B" w:rsidRPr="00D2189B" w:rsidRDefault="00D2189B" w:rsidP="00D2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Census 2021</w:t>
            </w:r>
          </w:p>
        </w:tc>
      </w:tr>
      <w:tr w:rsidR="00D2189B" w:rsidRPr="00D2189B" w14:paraId="2F0E4D43" w14:textId="77777777" w:rsidTr="00D2189B">
        <w:trPr>
          <w:trHeight w:val="250"/>
        </w:trPr>
        <w:tc>
          <w:tcPr>
            <w:tcW w:w="6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86AE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7FA1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1B602BB" w14:textId="77777777" w:rsidR="00D2189B" w:rsidRPr="00D2189B" w:rsidRDefault="00D2189B" w:rsidP="00D2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Calderdale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937F19" w14:textId="77777777" w:rsidR="00D2189B" w:rsidRPr="00D2189B" w:rsidRDefault="00D2189B" w:rsidP="00D2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West Yorkshire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7FC0A5" w14:textId="77777777" w:rsidR="00D2189B" w:rsidRPr="00D2189B" w:rsidRDefault="00D2189B" w:rsidP="00D2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England</w:t>
            </w:r>
          </w:p>
        </w:tc>
      </w:tr>
      <w:tr w:rsidR="00D2189B" w:rsidRPr="00D2189B" w14:paraId="2DB41CDF" w14:textId="77777777" w:rsidTr="00D2189B">
        <w:trPr>
          <w:trHeight w:val="250"/>
        </w:trPr>
        <w:tc>
          <w:tcPr>
            <w:tcW w:w="6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C94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C39006B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D1DCDE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12FBE1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255A84E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266956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A40081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286D21" w:rsidRPr="00D2189B" w14:paraId="5E60A2A6" w14:textId="77777777" w:rsidTr="00D2189B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FD7" w14:textId="7D323EF2" w:rsidR="00286D21" w:rsidRPr="00D2189B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 Managers, directors, and senior officials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AA3A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10,327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4EE" w14:textId="3D3E9B0E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81B3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11,521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97CE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8344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A1D8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12.9%</w:t>
            </w:r>
          </w:p>
        </w:tc>
      </w:tr>
      <w:tr w:rsidR="00286D21" w:rsidRPr="00D2189B" w14:paraId="48F2EF73" w14:textId="77777777" w:rsidTr="00D2189B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A993" w14:textId="77777777" w:rsidR="00286D21" w:rsidRPr="00D2189B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 Professional occupations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3C20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16,340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7BA8" w14:textId="1B437138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A250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18,183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BF71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680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19.2%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3C09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20.3%</w:t>
            </w:r>
          </w:p>
        </w:tc>
      </w:tr>
      <w:tr w:rsidR="00286D21" w:rsidRPr="00D2189B" w14:paraId="0D99D9B2" w14:textId="77777777" w:rsidTr="00D2189B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E1E0" w14:textId="77777777" w:rsidR="00286D21" w:rsidRPr="00D2189B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 Associate professional and technical occupations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12B5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12,120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9CC4" w14:textId="18A56FAA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0471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12,703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12A1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9171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12.9%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658E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13.3%</w:t>
            </w:r>
          </w:p>
        </w:tc>
      </w:tr>
      <w:tr w:rsidR="00286D21" w:rsidRPr="00D2189B" w14:paraId="620CFCBB" w14:textId="77777777" w:rsidTr="00D2189B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44B9" w14:textId="77777777" w:rsidR="00286D21" w:rsidRPr="00D2189B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 Administrative and secretarial occupations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CD9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11,282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E367" w14:textId="73872C4A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11.7%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8F8D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9,120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9B7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5DC4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9.5%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E918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9.3%</w:t>
            </w:r>
          </w:p>
        </w:tc>
      </w:tr>
      <w:tr w:rsidR="00286D21" w:rsidRPr="00D2189B" w14:paraId="17413204" w14:textId="77777777" w:rsidTr="00D2189B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88EC" w14:textId="77777777" w:rsidR="00286D21" w:rsidRPr="00D2189B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 Skilled trades occupations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8A4C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11,737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40CD" w14:textId="5984D400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E558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10,426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37F6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ADC8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D48F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10.2%</w:t>
            </w:r>
          </w:p>
        </w:tc>
      </w:tr>
      <w:tr w:rsidR="00286D21" w:rsidRPr="00D2189B" w14:paraId="38731403" w14:textId="77777777" w:rsidTr="00D2189B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828B" w14:textId="2AEB0013" w:rsidR="00286D21" w:rsidRPr="00D2189B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 Caring, leisure, and other service occupations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E617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9,455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0CB" w14:textId="5BF93CFE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0DAD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8,829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8F32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9D6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5D6E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9.3%</w:t>
            </w:r>
          </w:p>
        </w:tc>
      </w:tr>
      <w:tr w:rsidR="00286D21" w:rsidRPr="00D2189B" w14:paraId="6474B855" w14:textId="77777777" w:rsidTr="00D2189B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82C5" w14:textId="77777777" w:rsidR="00286D21" w:rsidRPr="00D2189B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 Sales and customer service occupations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8494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7,151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E069" w14:textId="0A02C8C9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C9ED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6,895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6243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8406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8.2%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B260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7.5%</w:t>
            </w:r>
          </w:p>
        </w:tc>
      </w:tr>
      <w:tr w:rsidR="00286D21" w:rsidRPr="00D2189B" w14:paraId="47114EEF" w14:textId="77777777" w:rsidTr="00D2189B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7C34" w14:textId="77777777" w:rsidR="00286D21" w:rsidRPr="00D2189B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 Process, plant and machine operatives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C33D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8,552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C7CF" w14:textId="76079370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4970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7,165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FD1E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40EB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3064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6.9%</w:t>
            </w:r>
          </w:p>
        </w:tc>
      </w:tr>
      <w:tr w:rsidR="00286D21" w:rsidRPr="00D2189B" w14:paraId="0A64094C" w14:textId="77777777" w:rsidTr="00D2189B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0229" w14:textId="77777777" w:rsidR="00286D21" w:rsidRPr="00D2189B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 Elementary occupations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C8D7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9,681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DA51" w14:textId="4D4A5C44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12CC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8,539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C684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AED1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11.4%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51E1" w14:textId="77777777" w:rsidR="00286D21" w:rsidRPr="00D2189B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10.5%</w:t>
            </w:r>
          </w:p>
        </w:tc>
      </w:tr>
      <w:tr w:rsidR="00D2189B" w:rsidRPr="00D2189B" w14:paraId="5F131C97" w14:textId="77777777" w:rsidTr="00D2189B">
        <w:trPr>
          <w:trHeight w:val="68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52F2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Total: All usual residents aged 16 to 74 in employment the week before the census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D971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96,645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17D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FF4C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B3A3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7AC9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38C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189B" w:rsidRPr="00D2189B" w14:paraId="59CF08FA" w14:textId="77777777" w:rsidTr="00D2189B">
        <w:trPr>
          <w:trHeight w:val="68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BB12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Total: All usual residents aged 16 years and over in employment the week before the census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928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5B0A" w14:textId="77777777" w:rsidR="00D2189B" w:rsidRPr="00D2189B" w:rsidRDefault="00D2189B" w:rsidP="00D2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83F8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93,381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AC2A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B6C0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C861" w14:textId="77777777" w:rsidR="00D2189B" w:rsidRPr="00D2189B" w:rsidRDefault="00D2189B" w:rsidP="00D21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</w:tr>
      <w:tr w:rsidR="00D2189B" w:rsidRPr="00D2189B" w14:paraId="7ECABC91" w14:textId="77777777" w:rsidTr="00D2189B">
        <w:trPr>
          <w:trHeight w:val="454"/>
        </w:trPr>
        <w:tc>
          <w:tcPr>
            <w:tcW w:w="1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6A913" w14:textId="748A032D" w:rsidR="00D2189B" w:rsidRPr="00D2189B" w:rsidRDefault="00D2189B" w:rsidP="00D2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18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Data sources: 1) Census 2011 table KS608EW.  2) Census 2021 table TS063.  c/o www.nomisweb.co.uk accessed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  <w:r w:rsidRPr="00D218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December 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12F92" w14:textId="77777777" w:rsidR="00D2189B" w:rsidRPr="00D2189B" w:rsidRDefault="00D2189B" w:rsidP="00D2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F0D3F19" w14:textId="77777777" w:rsidR="00286D21" w:rsidRDefault="00286D21">
      <w:pPr>
        <w:rPr>
          <w:rFonts w:ascii="Arial" w:hAnsi="Arial" w:cs="Arial"/>
          <w:sz w:val="20"/>
          <w:szCs w:val="20"/>
        </w:rPr>
      </w:pPr>
    </w:p>
    <w:p w14:paraId="4234ECF3" w14:textId="77777777" w:rsidR="00286D21" w:rsidRDefault="00286D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6374"/>
        <w:gridCol w:w="1418"/>
        <w:gridCol w:w="992"/>
        <w:gridCol w:w="1417"/>
        <w:gridCol w:w="1170"/>
        <w:gridCol w:w="1633"/>
        <w:gridCol w:w="1171"/>
      </w:tblGrid>
      <w:tr w:rsidR="00286D21" w:rsidRPr="00286D21" w14:paraId="0783FBB9" w14:textId="77777777" w:rsidTr="001A5AAA">
        <w:trPr>
          <w:trHeight w:val="68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021086" w14:textId="3740A319" w:rsidR="001A5AAA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Table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86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3c</w:t>
            </w:r>
            <w:r w:rsidR="001A5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 w:rsidRPr="00286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Number and proportion of Calderdale usual residents aged 16 years and over by National Statistics Socio-economic Classification </w:t>
            </w:r>
          </w:p>
          <w:p w14:paraId="32FF4EEF" w14:textId="33968892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(NS-SEC): compared to West Yorkshire and England</w:t>
            </w:r>
          </w:p>
        </w:tc>
      </w:tr>
      <w:tr w:rsidR="001A5AAA" w:rsidRPr="00286D21" w14:paraId="04289902" w14:textId="77777777" w:rsidTr="001A5AAA">
        <w:trPr>
          <w:trHeight w:val="340"/>
        </w:trPr>
        <w:tc>
          <w:tcPr>
            <w:tcW w:w="6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5C93F6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Statistics Socio-economic Classification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7E95EF" w14:textId="77777777" w:rsidR="001A5AAA" w:rsidRDefault="00286D21" w:rsidP="00286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Calderdale </w:t>
            </w:r>
          </w:p>
          <w:p w14:paraId="13A54792" w14:textId="09E0A09E" w:rsidR="00286D21" w:rsidRPr="00286D21" w:rsidRDefault="00286D21" w:rsidP="00286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Census 2011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B7619D" w14:textId="77777777" w:rsidR="00286D21" w:rsidRPr="00286D21" w:rsidRDefault="00286D21" w:rsidP="00286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Census 2021</w:t>
            </w:r>
          </w:p>
        </w:tc>
      </w:tr>
      <w:tr w:rsidR="001A5AAA" w:rsidRPr="00286D21" w14:paraId="593168D2" w14:textId="77777777" w:rsidTr="001A5AAA">
        <w:trPr>
          <w:trHeight w:val="340"/>
        </w:trPr>
        <w:tc>
          <w:tcPr>
            <w:tcW w:w="6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4829474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85FEDB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8EF3CB" w14:textId="77777777" w:rsidR="00286D21" w:rsidRPr="00286D21" w:rsidRDefault="00286D21" w:rsidP="00286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Calderdale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2BA396" w14:textId="77777777" w:rsidR="00286D21" w:rsidRPr="00286D21" w:rsidRDefault="00286D21" w:rsidP="00286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West Yorkshire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2FA09C" w14:textId="77777777" w:rsidR="00286D21" w:rsidRPr="00286D21" w:rsidRDefault="00286D21" w:rsidP="00286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England</w:t>
            </w:r>
          </w:p>
        </w:tc>
      </w:tr>
      <w:tr w:rsidR="001A5AAA" w:rsidRPr="00286D21" w14:paraId="2C4DAC33" w14:textId="77777777" w:rsidTr="001A5AAA">
        <w:trPr>
          <w:trHeight w:val="340"/>
        </w:trPr>
        <w:tc>
          <w:tcPr>
            <w:tcW w:w="6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8F2C8F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AAD55D9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C32EE3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EA9821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DADF69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B9AC8A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1D0B77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1A5AAA" w:rsidRPr="00286D21" w14:paraId="2D94D42B" w14:textId="77777777" w:rsidTr="001A5AAA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DD72" w14:textId="1BDF1FED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Higher managerial, </w:t>
            </w:r>
            <w:r w:rsidR="001A5AAA" w:rsidRPr="001A5A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administrative,</w:t>
            </w: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professional occupations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2BBD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14,525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DCE1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A13E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20,362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AAE1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12.2%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4E08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11.3%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7003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13.2%</w:t>
            </w:r>
          </w:p>
        </w:tc>
      </w:tr>
      <w:tr w:rsidR="001A5AAA" w:rsidRPr="00286D21" w14:paraId="497F33F5" w14:textId="77777777" w:rsidTr="001A5AAA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4E7C" w14:textId="5DFCAE4D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Lower managerial, </w:t>
            </w:r>
            <w:r w:rsidR="001A5AAA" w:rsidRPr="001A5A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administrative,</w:t>
            </w: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professional occupations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D539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31,143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ADF2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E646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33,582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83C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20.2%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C777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E8D7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19.9%</w:t>
            </w:r>
          </w:p>
        </w:tc>
      </w:tr>
      <w:tr w:rsidR="001A5AAA" w:rsidRPr="00286D21" w14:paraId="6769910D" w14:textId="77777777" w:rsidTr="001A5AAA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0C28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Intermediate occupations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1F52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19,313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3686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331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19,805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7EDE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11.9%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C9BD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11.5%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2F40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11.4%</w:t>
            </w:r>
          </w:p>
        </w:tc>
      </w:tr>
      <w:tr w:rsidR="001A5AAA" w:rsidRPr="00286D21" w14:paraId="348DB17C" w14:textId="77777777" w:rsidTr="001A5AAA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1A7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Small employers and own account workers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CD04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FB20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F163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17,513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390F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10.5%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C2FA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215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10.6%</w:t>
            </w:r>
          </w:p>
        </w:tc>
      </w:tr>
      <w:tr w:rsidR="001A5AAA" w:rsidRPr="00286D21" w14:paraId="11F4EF06" w14:textId="77777777" w:rsidTr="001A5AAA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C46E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Lower supervisory and technical occupations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7666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D0A4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625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8,953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F016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5.4%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6592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42F8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5.3%</w:t>
            </w:r>
          </w:p>
        </w:tc>
      </w:tr>
      <w:tr w:rsidR="001A5AAA" w:rsidRPr="00286D21" w14:paraId="490D03C7" w14:textId="77777777" w:rsidTr="001A5AAA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53B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Semi-routine occupations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1049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22,006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9112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1D21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19,320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60AB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4641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11.2%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060D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11.3%</w:t>
            </w:r>
          </w:p>
        </w:tc>
      </w:tr>
      <w:tr w:rsidR="001A5AAA" w:rsidRPr="00286D21" w14:paraId="07D47086" w14:textId="77777777" w:rsidTr="001A5AAA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C815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Routine occupations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787E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295A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48A6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22,571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E8D0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13.5%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4B9A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3D33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12.0%</w:t>
            </w:r>
          </w:p>
        </w:tc>
      </w:tr>
      <w:tr w:rsidR="001A5AAA" w:rsidRPr="00286D21" w14:paraId="7D79B1FB" w14:textId="77777777" w:rsidTr="001A5AAA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717C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Never worked and long-term unemployed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A217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8,910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273F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5C07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14,990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3E9A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6D6A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62AF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8.5%</w:t>
            </w:r>
          </w:p>
        </w:tc>
      </w:tr>
      <w:tr w:rsidR="001A5AAA" w:rsidRPr="00286D21" w14:paraId="6AF6A5C7" w14:textId="77777777" w:rsidTr="001A5AAA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E54B" w14:textId="23ABDC75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Never worked</w:t>
            </w:r>
            <w:r w:rsidR="001A5A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3281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6AEA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43A3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9A1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B864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9465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A5AAA" w:rsidRPr="00286D21" w14:paraId="45289DB1" w14:textId="77777777" w:rsidTr="001A5AAA">
        <w:trPr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C140" w14:textId="133535CF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Long-term unemployed</w:t>
            </w:r>
            <w:r w:rsidR="001A5A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4C4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45BE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48E5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2C85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AE0D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18BC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A5AAA" w:rsidRPr="00286D21" w14:paraId="6F2231F9" w14:textId="77777777" w:rsidTr="001A5AAA">
        <w:trPr>
          <w:cantSplit/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6E63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Full-time students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92B3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9,783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27C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77F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9,538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84EA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5.7%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06CA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8.7%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1793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7.7%</w:t>
            </w:r>
          </w:p>
        </w:tc>
      </w:tr>
      <w:tr w:rsidR="001A5AAA" w:rsidRPr="00286D21" w14:paraId="035963AE" w14:textId="77777777" w:rsidTr="001A5AAA">
        <w:trPr>
          <w:cantSplit/>
          <w:trHeight w:val="3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9EB" w14:textId="77777777" w:rsidR="00286D21" w:rsidRPr="00286D21" w:rsidRDefault="00286D21" w:rsidP="00286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Total: All usual residents aged 16 years and 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F49D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148,766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CE8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97A7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166,634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DB6A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68DF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F40C" w14:textId="77777777" w:rsidR="00286D21" w:rsidRPr="00286D21" w:rsidRDefault="00286D21" w:rsidP="00286D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</w:tr>
      <w:tr w:rsidR="00286D21" w:rsidRPr="00286D21" w14:paraId="33E9A9C3" w14:textId="77777777" w:rsidTr="00286D21">
        <w:trPr>
          <w:trHeight w:val="454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AAA72" w14:textId="58F413DA" w:rsidR="00286D21" w:rsidRPr="00286D21" w:rsidRDefault="00286D21" w:rsidP="00286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86D2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Data sources: 1) Census 2011 table KS611EW.  2) Census 2021 table TS062.  c/o www.nomisweb.co.uk accessed 8 December 2022</w:t>
            </w:r>
          </w:p>
        </w:tc>
      </w:tr>
    </w:tbl>
    <w:p w14:paraId="5E1990C6" w14:textId="77777777" w:rsidR="001A5AAA" w:rsidRDefault="001A5AAA">
      <w:pPr>
        <w:rPr>
          <w:rFonts w:ascii="Arial" w:hAnsi="Arial" w:cs="Arial"/>
          <w:sz w:val="20"/>
          <w:szCs w:val="20"/>
        </w:rPr>
      </w:pPr>
    </w:p>
    <w:p w14:paraId="3E8EFD17" w14:textId="5CAEA902" w:rsidR="00093CF8" w:rsidRDefault="001A5A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*Census 2021 information to be confirmed early 2023</w:t>
      </w:r>
      <w:r w:rsidR="00093CF8">
        <w:rPr>
          <w:rFonts w:ascii="Arial" w:hAnsi="Arial" w:cs="Arial"/>
          <w:sz w:val="20"/>
          <w:szCs w:val="20"/>
        </w:rPr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6799"/>
        <w:gridCol w:w="1276"/>
        <w:gridCol w:w="851"/>
        <w:gridCol w:w="1275"/>
        <w:gridCol w:w="928"/>
        <w:gridCol w:w="1766"/>
        <w:gridCol w:w="1280"/>
      </w:tblGrid>
      <w:tr w:rsidR="00093CF8" w:rsidRPr="00093CF8" w14:paraId="4AA52ED6" w14:textId="77777777" w:rsidTr="00717C2B">
        <w:trPr>
          <w:trHeight w:val="44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720135" w14:textId="048A57D5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Table 4</w:t>
            </w:r>
            <w:r w:rsidR="00D92B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Pr="00093C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: Method of travel to work in Calderdale, West Yorkshire, and England</w:t>
            </w:r>
          </w:p>
        </w:tc>
      </w:tr>
      <w:tr w:rsidR="000B27E5" w:rsidRPr="00093CF8" w14:paraId="27D76981" w14:textId="77777777" w:rsidTr="00093CF8">
        <w:trPr>
          <w:trHeight w:val="250"/>
        </w:trPr>
        <w:tc>
          <w:tcPr>
            <w:tcW w:w="6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02A6C0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Method of travel to work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F2F180" w14:textId="77777777" w:rsidR="00093CF8" w:rsidRDefault="00093CF8" w:rsidP="0009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Calderdale </w:t>
            </w:r>
          </w:p>
          <w:p w14:paraId="06C3F9E2" w14:textId="4F89CFBA" w:rsidR="00093CF8" w:rsidRPr="00093CF8" w:rsidRDefault="00093CF8" w:rsidP="0009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Census 2011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755F652" w14:textId="77777777" w:rsidR="00093CF8" w:rsidRPr="00093CF8" w:rsidRDefault="00093CF8" w:rsidP="0009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Census 2021</w:t>
            </w:r>
          </w:p>
        </w:tc>
      </w:tr>
      <w:tr w:rsidR="000B27E5" w:rsidRPr="00093CF8" w14:paraId="7DBCCF3B" w14:textId="77777777" w:rsidTr="00093CF8">
        <w:trPr>
          <w:trHeight w:val="25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38CE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007D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5EAA74" w14:textId="77777777" w:rsidR="00093CF8" w:rsidRPr="00093CF8" w:rsidRDefault="00093CF8" w:rsidP="0009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Calderdale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BE0553" w14:textId="77777777" w:rsidR="00093CF8" w:rsidRPr="00093CF8" w:rsidRDefault="00093CF8" w:rsidP="0009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West Yorkshire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EDF0B2E" w14:textId="77777777" w:rsidR="00093CF8" w:rsidRPr="00093CF8" w:rsidRDefault="00093CF8" w:rsidP="0009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England</w:t>
            </w:r>
          </w:p>
        </w:tc>
      </w:tr>
      <w:tr w:rsidR="00093CF8" w:rsidRPr="00093CF8" w14:paraId="767A3776" w14:textId="77777777" w:rsidTr="00093CF8">
        <w:trPr>
          <w:trHeight w:val="25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D73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15F7B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CD50F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A80EFC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B53D208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AD59BD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58A9E3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093CF8" w:rsidRPr="00093CF8" w14:paraId="6881146B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D71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Work mainly at or from home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064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FC16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B713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27,280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4100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276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AF5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32%</w:t>
            </w:r>
          </w:p>
        </w:tc>
      </w:tr>
      <w:tr w:rsidR="00093CF8" w:rsidRPr="00093CF8" w14:paraId="5BF58C59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4EA6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Underground, metro, light rail, tram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00DD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C780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93A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8AF6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0A2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C258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2%</w:t>
            </w:r>
          </w:p>
        </w:tc>
      </w:tr>
      <w:tr w:rsidR="00093CF8" w:rsidRPr="00093CF8" w14:paraId="7064E977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1F20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04F0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3DD5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FBA1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1,158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34DE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F945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B6FE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2%</w:t>
            </w:r>
          </w:p>
        </w:tc>
      </w:tr>
      <w:tr w:rsidR="00093CF8" w:rsidRPr="00093CF8" w14:paraId="402BF381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6719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Bus, minibus or coach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2771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8,222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C91B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D5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3,740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2F52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B45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C824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4%</w:t>
            </w:r>
          </w:p>
        </w:tc>
      </w:tr>
      <w:tr w:rsidR="00093CF8" w:rsidRPr="00093CF8" w14:paraId="568D5728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150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Taxi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D804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F854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976A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1,110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A2BD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EF5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F623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</w:tr>
      <w:tr w:rsidR="00093CF8" w:rsidRPr="00093CF8" w14:paraId="48FCDDCF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8D73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Motorcycle, scooter or moped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282D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76B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BB18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5C8B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E54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027A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0%</w:t>
            </w:r>
          </w:p>
        </w:tc>
      </w:tr>
      <w:tr w:rsidR="00093CF8" w:rsidRPr="00093CF8" w14:paraId="39A34BDB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1FB9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Driving a car or 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C7A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61,160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4DC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0D4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46,448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A2FA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3B97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48%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09D6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45%</w:t>
            </w:r>
          </w:p>
        </w:tc>
      </w:tr>
      <w:tr w:rsidR="00093CF8" w:rsidRPr="00093CF8" w14:paraId="718DC88A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E6BA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Passenger in a car or 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4311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6,179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A052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25A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4,332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7CE4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0F04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04A3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4%</w:t>
            </w:r>
          </w:p>
        </w:tc>
      </w:tr>
      <w:tr w:rsidR="00093CF8" w:rsidRPr="00093CF8" w14:paraId="3BE2C348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427A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Bicycle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3557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F71C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E955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22FE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3E31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C86D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2%</w:t>
            </w:r>
          </w:p>
        </w:tc>
      </w:tr>
      <w:tr w:rsidR="00093CF8" w:rsidRPr="00093CF8" w14:paraId="4813B423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7827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foot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1F3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10,444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A3F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F2DF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7,430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59DC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28B6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9527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8%</w:t>
            </w:r>
          </w:p>
        </w:tc>
      </w:tr>
      <w:tr w:rsidR="00093CF8" w:rsidRPr="00093CF8" w14:paraId="6408A441" w14:textId="77777777" w:rsidTr="00093CF8">
        <w:trPr>
          <w:trHeight w:val="4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7AAE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 method of travel to work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487F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D71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C54E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187B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3AC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3824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1%</w:t>
            </w:r>
          </w:p>
        </w:tc>
      </w:tr>
      <w:tr w:rsidR="00093CF8" w:rsidRPr="00093CF8" w14:paraId="7412BE3A" w14:textId="77777777" w:rsidTr="00093CF8">
        <w:trPr>
          <w:trHeight w:val="6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3006" w14:textId="77777777" w:rsidR="00093CF8" w:rsidRPr="00093CF8" w:rsidRDefault="00093CF8" w:rsidP="00093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Total: All usual residents aged 16 years and over in employment the week before the census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2AED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96,645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8A49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D13C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93,385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C5E8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50B1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4FFE" w14:textId="77777777" w:rsidR="00093CF8" w:rsidRPr="00093CF8" w:rsidRDefault="00093CF8" w:rsidP="00093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</w:tr>
      <w:tr w:rsidR="00093CF8" w:rsidRPr="00093CF8" w14:paraId="1AEE3B62" w14:textId="77777777" w:rsidTr="009B0651">
        <w:trPr>
          <w:trHeight w:val="400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E96DC" w14:textId="0E499623" w:rsidR="00093CF8" w:rsidRPr="00093CF8" w:rsidRDefault="00093CF8" w:rsidP="0009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93CF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sources: 1) Census 2011 table QS701EW.  2) Census 2021 table TS061.  c/o www.nomisweb.co.uk accessed 8 December 2022</w:t>
            </w:r>
          </w:p>
        </w:tc>
      </w:tr>
    </w:tbl>
    <w:p w14:paraId="76A7F36C" w14:textId="00C5C3A6" w:rsidR="00D92B7C" w:rsidRDefault="00D92B7C" w:rsidP="007749A9">
      <w:pPr>
        <w:rPr>
          <w:rFonts w:ascii="Arial" w:hAnsi="Arial" w:cs="Arial"/>
          <w:sz w:val="20"/>
          <w:szCs w:val="20"/>
        </w:rPr>
      </w:pPr>
    </w:p>
    <w:p w14:paraId="3DEF56DA" w14:textId="77777777" w:rsidR="00D92B7C" w:rsidRDefault="00D92B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4560" w:type="dxa"/>
        <w:tblLook w:val="04A0" w:firstRow="1" w:lastRow="0" w:firstColumn="1" w:lastColumn="0" w:noHBand="0" w:noVBand="1"/>
      </w:tblPr>
      <w:tblGrid>
        <w:gridCol w:w="6232"/>
        <w:gridCol w:w="1560"/>
        <w:gridCol w:w="1134"/>
        <w:gridCol w:w="1559"/>
        <w:gridCol w:w="1272"/>
        <w:gridCol w:w="1853"/>
        <w:gridCol w:w="950"/>
      </w:tblGrid>
      <w:tr w:rsidR="00D92B7C" w:rsidRPr="00D92B7C" w14:paraId="5D03FE12" w14:textId="77777777" w:rsidTr="00D92B7C">
        <w:trPr>
          <w:trHeight w:val="440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D57C08" w14:textId="1A599841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Table 4b: Distance travelled to work in Calderdale, West Yorkshire, and England</w:t>
            </w:r>
          </w:p>
        </w:tc>
      </w:tr>
      <w:tr w:rsidR="00D92B7C" w:rsidRPr="00D92B7C" w14:paraId="5E58BC23" w14:textId="77777777" w:rsidTr="00D92B7C">
        <w:trPr>
          <w:trHeight w:val="250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36D718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Distance travelled to work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E6BCC3" w14:textId="77777777" w:rsidR="00D92B7C" w:rsidRPr="00D92B7C" w:rsidRDefault="00D92B7C" w:rsidP="00D9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Calderdale Census 2011</w:t>
            </w:r>
          </w:p>
        </w:tc>
        <w:tc>
          <w:tcPr>
            <w:tcW w:w="5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DE46739" w14:textId="77777777" w:rsidR="00D92B7C" w:rsidRPr="00D92B7C" w:rsidRDefault="00D92B7C" w:rsidP="00D9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Census 2021</w:t>
            </w:r>
          </w:p>
        </w:tc>
      </w:tr>
      <w:tr w:rsidR="00D92B7C" w:rsidRPr="00D92B7C" w14:paraId="57250ECD" w14:textId="77777777" w:rsidTr="00D92B7C">
        <w:trPr>
          <w:trHeight w:val="250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8108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BC1C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3D84D1" w14:textId="77777777" w:rsidR="00D92B7C" w:rsidRPr="00D92B7C" w:rsidRDefault="00D92B7C" w:rsidP="00D9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Calderdale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051D2F81" w14:textId="77777777" w:rsidR="00D92B7C" w:rsidRPr="00D92B7C" w:rsidRDefault="00D92B7C" w:rsidP="00D9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West Yorkshire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B418B7" w14:textId="77777777" w:rsidR="00D92B7C" w:rsidRPr="00D92B7C" w:rsidRDefault="00D92B7C" w:rsidP="00D9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England</w:t>
            </w:r>
          </w:p>
        </w:tc>
      </w:tr>
      <w:tr w:rsidR="00D92B7C" w:rsidRPr="00D92B7C" w14:paraId="17C83573" w14:textId="77777777" w:rsidTr="00D92B7C">
        <w:trPr>
          <w:trHeight w:val="250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C502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53C534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C12FD0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5402D2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FD1E57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81A061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F2B2F5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92B7C" w:rsidRPr="00D92B7C" w14:paraId="69E8CF4D" w14:textId="77777777" w:rsidTr="00D92B7C">
        <w:trPr>
          <w:trHeight w:val="3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4B73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Less than 2km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7056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934B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8E6B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11,434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878C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12.2%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D62F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11.5%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981F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11.0%</w:t>
            </w:r>
          </w:p>
        </w:tc>
      </w:tr>
      <w:tr w:rsidR="00D92B7C" w:rsidRPr="00D92B7C" w14:paraId="73899035" w14:textId="77777777" w:rsidTr="00D92B7C">
        <w:trPr>
          <w:trHeight w:val="3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A87F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2km to less than 5km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CB8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21,761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2462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9D83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13,584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A998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14.5%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0190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C6E2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12.6%</w:t>
            </w:r>
          </w:p>
        </w:tc>
      </w:tr>
      <w:tr w:rsidR="00D92B7C" w:rsidRPr="00D92B7C" w14:paraId="512B0AEE" w14:textId="77777777" w:rsidTr="00D92B7C">
        <w:trPr>
          <w:trHeight w:val="3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45B9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5km to less than 10km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CFCE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E694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A651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12,785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304A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13.7%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6FEF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F0A0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11.7%</w:t>
            </w:r>
          </w:p>
        </w:tc>
      </w:tr>
      <w:tr w:rsidR="00D92B7C" w:rsidRPr="00D92B7C" w14:paraId="79DBABC6" w14:textId="77777777" w:rsidTr="00D92B7C">
        <w:trPr>
          <w:trHeight w:val="3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405F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10km to less than 20km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7CA4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6A6F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E969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9,424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26C1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8A23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11.7%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3A42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10.4%</w:t>
            </w:r>
          </w:p>
        </w:tc>
      </w:tr>
      <w:tr w:rsidR="00D92B7C" w:rsidRPr="00D92B7C" w14:paraId="17AB8579" w14:textId="77777777" w:rsidTr="00D92B7C">
        <w:trPr>
          <w:trHeight w:val="3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B4CD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20km to less than 30km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0FA3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C119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B09B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3,282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D996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3.5%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40EF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01D1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4.0%</w:t>
            </w:r>
          </w:p>
        </w:tc>
      </w:tr>
      <w:tr w:rsidR="00D92B7C" w:rsidRPr="00D92B7C" w14:paraId="247DA896" w14:textId="77777777" w:rsidTr="00D92B7C">
        <w:trPr>
          <w:trHeight w:val="3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E91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30km to less than 40km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6F92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3E82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CE7B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1,098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0294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1.2%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9C96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28DF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1.7%</w:t>
            </w:r>
          </w:p>
        </w:tc>
      </w:tr>
      <w:tr w:rsidR="00D92B7C" w:rsidRPr="00D92B7C" w14:paraId="70B4E728" w14:textId="77777777" w:rsidTr="00D92B7C">
        <w:trPr>
          <w:trHeight w:val="3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5777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40km to less than 60km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22F4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E9B9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1414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592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341C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DEED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1240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1.3%</w:t>
            </w:r>
          </w:p>
        </w:tc>
      </w:tr>
      <w:tr w:rsidR="00D92B7C" w:rsidRPr="00D92B7C" w14:paraId="47304FAB" w14:textId="77777777" w:rsidTr="00D92B7C">
        <w:trPr>
          <w:trHeight w:val="3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D56D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60km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A605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C51E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C553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C82F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9469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31C0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1.3%</w:t>
            </w:r>
          </w:p>
        </w:tc>
      </w:tr>
      <w:tr w:rsidR="00D92B7C" w:rsidRPr="00D92B7C" w14:paraId="5C8AF96D" w14:textId="77777777" w:rsidTr="00D92B7C">
        <w:trPr>
          <w:trHeight w:val="3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2073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Works mainly from home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A0A3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9,506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6448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FA8B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27,280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7EE9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29.2%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9760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28.4%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F279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31.5%</w:t>
            </w:r>
          </w:p>
        </w:tc>
      </w:tr>
      <w:tr w:rsidR="00D92B7C" w:rsidRPr="00D92B7C" w14:paraId="2BF0E615" w14:textId="77777777" w:rsidTr="00D92B7C">
        <w:trPr>
          <w:trHeight w:val="6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B2F9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Works mainly at an offshore installation, in no fixed place, or outside the UK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D545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6,687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9799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B920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13,099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D3DF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E448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13.7%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88EF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14.5%</w:t>
            </w:r>
          </w:p>
        </w:tc>
      </w:tr>
      <w:tr w:rsidR="00D92B7C" w:rsidRPr="00D92B7C" w14:paraId="6B96D7B4" w14:textId="77777777" w:rsidTr="00D92B7C">
        <w:trPr>
          <w:trHeight w:val="6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8261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Total: All usual residents aged 16 to 74 in employment the week before the census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9968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96,645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0046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60F0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930F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EF1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421A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92B7C" w:rsidRPr="00D92B7C" w14:paraId="7256D246" w14:textId="77777777" w:rsidTr="00D92B7C">
        <w:trPr>
          <w:trHeight w:val="6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02C3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Total: All usual residents aged 16 years and over in employment the week before the census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BBBF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5E1B" w14:textId="77777777" w:rsidR="00D92B7C" w:rsidRPr="00D92B7C" w:rsidRDefault="00D92B7C" w:rsidP="00D9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3C34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93,381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5D3F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293C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9347" w14:textId="77777777" w:rsidR="00D92B7C" w:rsidRPr="00D92B7C" w:rsidRDefault="00D92B7C" w:rsidP="00D9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100.0%</w:t>
            </w:r>
          </w:p>
        </w:tc>
      </w:tr>
      <w:tr w:rsidR="00D92B7C" w:rsidRPr="00D92B7C" w14:paraId="6C1811FE" w14:textId="77777777" w:rsidTr="00D92B7C">
        <w:trPr>
          <w:trHeight w:val="454"/>
        </w:trPr>
        <w:tc>
          <w:tcPr>
            <w:tcW w:w="14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4B171" w14:textId="74E99249" w:rsidR="00D92B7C" w:rsidRPr="00D92B7C" w:rsidRDefault="00D92B7C" w:rsidP="00D9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92B7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sources: 1) Census 2011 table QS702EW.  2) Census 2021 table TS058.  c/o www.nomisweb.co.uk accessed 8 December 2022</w:t>
            </w:r>
          </w:p>
        </w:tc>
      </w:tr>
    </w:tbl>
    <w:p w14:paraId="3323D597" w14:textId="77777777" w:rsidR="00F30B82" w:rsidRPr="00266E5B" w:rsidRDefault="00F30B82" w:rsidP="007749A9">
      <w:pPr>
        <w:rPr>
          <w:rFonts w:ascii="Arial" w:hAnsi="Arial" w:cs="Arial"/>
          <w:sz w:val="20"/>
          <w:szCs w:val="20"/>
        </w:rPr>
      </w:pPr>
    </w:p>
    <w:sectPr w:rsidR="00F30B82" w:rsidRPr="00266E5B" w:rsidSect="000B27E5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3AA5" w14:textId="77777777" w:rsidR="00CB0F7E" w:rsidRDefault="00CB0F7E" w:rsidP="00CB0F7E">
      <w:pPr>
        <w:spacing w:after="0" w:line="240" w:lineRule="auto"/>
      </w:pPr>
      <w:r>
        <w:separator/>
      </w:r>
    </w:p>
  </w:endnote>
  <w:endnote w:type="continuationSeparator" w:id="0">
    <w:p w14:paraId="3B2F2B7E" w14:textId="77777777" w:rsidR="00CB0F7E" w:rsidRDefault="00CB0F7E" w:rsidP="00CB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13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FE2FC" w14:textId="1B9C1742" w:rsidR="004E339E" w:rsidRDefault="004E33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CEA7B" w14:textId="77777777" w:rsidR="004E339E" w:rsidRDefault="004E3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F7A9" w14:textId="77777777" w:rsidR="00CB0F7E" w:rsidRDefault="00CB0F7E" w:rsidP="00CB0F7E">
      <w:pPr>
        <w:spacing w:after="0" w:line="240" w:lineRule="auto"/>
      </w:pPr>
      <w:r>
        <w:separator/>
      </w:r>
    </w:p>
  </w:footnote>
  <w:footnote w:type="continuationSeparator" w:id="0">
    <w:p w14:paraId="4834FDF4" w14:textId="77777777" w:rsidR="00CB0F7E" w:rsidRDefault="00CB0F7E" w:rsidP="00CB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45E"/>
    <w:multiLevelType w:val="hybridMultilevel"/>
    <w:tmpl w:val="5F14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27D8"/>
    <w:multiLevelType w:val="hybridMultilevel"/>
    <w:tmpl w:val="11FC3E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26DC"/>
    <w:multiLevelType w:val="hybridMultilevel"/>
    <w:tmpl w:val="E752CA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E7911"/>
    <w:multiLevelType w:val="hybridMultilevel"/>
    <w:tmpl w:val="8A80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66F6"/>
    <w:multiLevelType w:val="hybridMultilevel"/>
    <w:tmpl w:val="59FE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80821"/>
    <w:multiLevelType w:val="hybridMultilevel"/>
    <w:tmpl w:val="9BF821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F363A5"/>
    <w:multiLevelType w:val="hybridMultilevel"/>
    <w:tmpl w:val="B6A21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6B47D7"/>
    <w:multiLevelType w:val="hybridMultilevel"/>
    <w:tmpl w:val="AEE2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A1C4C"/>
    <w:multiLevelType w:val="hybridMultilevel"/>
    <w:tmpl w:val="8AF41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094B91"/>
    <w:multiLevelType w:val="hybridMultilevel"/>
    <w:tmpl w:val="5FE42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520F0"/>
    <w:multiLevelType w:val="hybridMultilevel"/>
    <w:tmpl w:val="81D4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E2"/>
    <w:rsid w:val="000064C1"/>
    <w:rsid w:val="00012041"/>
    <w:rsid w:val="0001389E"/>
    <w:rsid w:val="0001487D"/>
    <w:rsid w:val="000206B0"/>
    <w:rsid w:val="000378A0"/>
    <w:rsid w:val="000413F1"/>
    <w:rsid w:val="00047D0A"/>
    <w:rsid w:val="00051EC2"/>
    <w:rsid w:val="000531E4"/>
    <w:rsid w:val="00054220"/>
    <w:rsid w:val="0007386A"/>
    <w:rsid w:val="000925F1"/>
    <w:rsid w:val="00093CF8"/>
    <w:rsid w:val="000B27E5"/>
    <w:rsid w:val="000C64BC"/>
    <w:rsid w:val="000E0D02"/>
    <w:rsid w:val="000E67EA"/>
    <w:rsid w:val="0010302E"/>
    <w:rsid w:val="001031F9"/>
    <w:rsid w:val="00145B20"/>
    <w:rsid w:val="0015019D"/>
    <w:rsid w:val="0015032E"/>
    <w:rsid w:val="00151441"/>
    <w:rsid w:val="00151639"/>
    <w:rsid w:val="00164936"/>
    <w:rsid w:val="00164B7F"/>
    <w:rsid w:val="001820D9"/>
    <w:rsid w:val="00184991"/>
    <w:rsid w:val="00196709"/>
    <w:rsid w:val="00197F22"/>
    <w:rsid w:val="001A4A83"/>
    <w:rsid w:val="001A5AAA"/>
    <w:rsid w:val="001B3F8E"/>
    <w:rsid w:val="001B452C"/>
    <w:rsid w:val="001B4928"/>
    <w:rsid w:val="001B5493"/>
    <w:rsid w:val="001C67F4"/>
    <w:rsid w:val="001F0666"/>
    <w:rsid w:val="001F23C5"/>
    <w:rsid w:val="00205A87"/>
    <w:rsid w:val="00213D7D"/>
    <w:rsid w:val="00220497"/>
    <w:rsid w:val="00220F35"/>
    <w:rsid w:val="002409F8"/>
    <w:rsid w:val="00245610"/>
    <w:rsid w:val="00266E5B"/>
    <w:rsid w:val="00286D21"/>
    <w:rsid w:val="002A4BAA"/>
    <w:rsid w:val="002D0227"/>
    <w:rsid w:val="002D3D3C"/>
    <w:rsid w:val="002E242D"/>
    <w:rsid w:val="002F2126"/>
    <w:rsid w:val="002F6857"/>
    <w:rsid w:val="0030639E"/>
    <w:rsid w:val="00313C44"/>
    <w:rsid w:val="00317A5C"/>
    <w:rsid w:val="0033447F"/>
    <w:rsid w:val="00361676"/>
    <w:rsid w:val="00362B94"/>
    <w:rsid w:val="00383948"/>
    <w:rsid w:val="00385E1E"/>
    <w:rsid w:val="00390BB2"/>
    <w:rsid w:val="00391C7C"/>
    <w:rsid w:val="003D3DEE"/>
    <w:rsid w:val="003D61D2"/>
    <w:rsid w:val="00400A44"/>
    <w:rsid w:val="00412C27"/>
    <w:rsid w:val="004130A5"/>
    <w:rsid w:val="00413B44"/>
    <w:rsid w:val="00416E63"/>
    <w:rsid w:val="00431E55"/>
    <w:rsid w:val="0043590C"/>
    <w:rsid w:val="00460687"/>
    <w:rsid w:val="00463E59"/>
    <w:rsid w:val="00474967"/>
    <w:rsid w:val="004929F3"/>
    <w:rsid w:val="004C35A9"/>
    <w:rsid w:val="004D465B"/>
    <w:rsid w:val="004E0E28"/>
    <w:rsid w:val="004E339E"/>
    <w:rsid w:val="004E73B0"/>
    <w:rsid w:val="004E77B5"/>
    <w:rsid w:val="004E7F4C"/>
    <w:rsid w:val="004F3D9A"/>
    <w:rsid w:val="005115C5"/>
    <w:rsid w:val="00512FFD"/>
    <w:rsid w:val="00515282"/>
    <w:rsid w:val="00516C5F"/>
    <w:rsid w:val="005217E9"/>
    <w:rsid w:val="00521E8D"/>
    <w:rsid w:val="00522EF2"/>
    <w:rsid w:val="00534307"/>
    <w:rsid w:val="00534354"/>
    <w:rsid w:val="005349AD"/>
    <w:rsid w:val="0053500F"/>
    <w:rsid w:val="00540A20"/>
    <w:rsid w:val="0054643F"/>
    <w:rsid w:val="00560291"/>
    <w:rsid w:val="00561ADB"/>
    <w:rsid w:val="0059441F"/>
    <w:rsid w:val="00595FFC"/>
    <w:rsid w:val="005A24D6"/>
    <w:rsid w:val="005A6B18"/>
    <w:rsid w:val="005C10ED"/>
    <w:rsid w:val="005D1544"/>
    <w:rsid w:val="005D7330"/>
    <w:rsid w:val="005E145D"/>
    <w:rsid w:val="005F38D5"/>
    <w:rsid w:val="00602399"/>
    <w:rsid w:val="00605442"/>
    <w:rsid w:val="00606B1C"/>
    <w:rsid w:val="00622080"/>
    <w:rsid w:val="006331AC"/>
    <w:rsid w:val="006358BC"/>
    <w:rsid w:val="006401CC"/>
    <w:rsid w:val="00645F09"/>
    <w:rsid w:val="006539BD"/>
    <w:rsid w:val="00670EEF"/>
    <w:rsid w:val="00677079"/>
    <w:rsid w:val="006B5168"/>
    <w:rsid w:val="006B6708"/>
    <w:rsid w:val="006D1A20"/>
    <w:rsid w:val="006F285A"/>
    <w:rsid w:val="00705F10"/>
    <w:rsid w:val="00706755"/>
    <w:rsid w:val="0073348D"/>
    <w:rsid w:val="007365B2"/>
    <w:rsid w:val="0075139A"/>
    <w:rsid w:val="00755680"/>
    <w:rsid w:val="007608A3"/>
    <w:rsid w:val="0076355B"/>
    <w:rsid w:val="007717E0"/>
    <w:rsid w:val="007749A9"/>
    <w:rsid w:val="00776116"/>
    <w:rsid w:val="00780AB2"/>
    <w:rsid w:val="00782C4F"/>
    <w:rsid w:val="007A7EFF"/>
    <w:rsid w:val="007E265B"/>
    <w:rsid w:val="007E33F8"/>
    <w:rsid w:val="007E6895"/>
    <w:rsid w:val="00804381"/>
    <w:rsid w:val="008216C6"/>
    <w:rsid w:val="00831184"/>
    <w:rsid w:val="00847AD8"/>
    <w:rsid w:val="00855B35"/>
    <w:rsid w:val="0088181C"/>
    <w:rsid w:val="008A0C0D"/>
    <w:rsid w:val="008A3422"/>
    <w:rsid w:val="008B0843"/>
    <w:rsid w:val="008B19C7"/>
    <w:rsid w:val="008C26B9"/>
    <w:rsid w:val="008E74E1"/>
    <w:rsid w:val="008F6840"/>
    <w:rsid w:val="00906012"/>
    <w:rsid w:val="0093067F"/>
    <w:rsid w:val="00941581"/>
    <w:rsid w:val="00942754"/>
    <w:rsid w:val="00944EDC"/>
    <w:rsid w:val="00977D2A"/>
    <w:rsid w:val="00984A79"/>
    <w:rsid w:val="009A7FCA"/>
    <w:rsid w:val="009B3715"/>
    <w:rsid w:val="009B45B2"/>
    <w:rsid w:val="009C0B8A"/>
    <w:rsid w:val="009E3D40"/>
    <w:rsid w:val="00A245F3"/>
    <w:rsid w:val="00A24C5F"/>
    <w:rsid w:val="00A26C13"/>
    <w:rsid w:val="00A4575C"/>
    <w:rsid w:val="00A546FE"/>
    <w:rsid w:val="00A60650"/>
    <w:rsid w:val="00A63D88"/>
    <w:rsid w:val="00A66536"/>
    <w:rsid w:val="00A77C4C"/>
    <w:rsid w:val="00A84EA8"/>
    <w:rsid w:val="00AC0538"/>
    <w:rsid w:val="00AC0B6A"/>
    <w:rsid w:val="00AC27B1"/>
    <w:rsid w:val="00AC6BBB"/>
    <w:rsid w:val="00AC7B62"/>
    <w:rsid w:val="00AD538A"/>
    <w:rsid w:val="00AF3807"/>
    <w:rsid w:val="00AF571A"/>
    <w:rsid w:val="00B20CE6"/>
    <w:rsid w:val="00B21AFA"/>
    <w:rsid w:val="00B55EA7"/>
    <w:rsid w:val="00B60075"/>
    <w:rsid w:val="00B6429F"/>
    <w:rsid w:val="00B656BC"/>
    <w:rsid w:val="00B702D6"/>
    <w:rsid w:val="00B827CA"/>
    <w:rsid w:val="00B869DC"/>
    <w:rsid w:val="00B90B83"/>
    <w:rsid w:val="00BA701E"/>
    <w:rsid w:val="00BB1C74"/>
    <w:rsid w:val="00BB5D76"/>
    <w:rsid w:val="00BC6D1E"/>
    <w:rsid w:val="00BE07D4"/>
    <w:rsid w:val="00BF598A"/>
    <w:rsid w:val="00BF605C"/>
    <w:rsid w:val="00C32388"/>
    <w:rsid w:val="00C35DE2"/>
    <w:rsid w:val="00C40724"/>
    <w:rsid w:val="00C42971"/>
    <w:rsid w:val="00C47387"/>
    <w:rsid w:val="00C54731"/>
    <w:rsid w:val="00C63586"/>
    <w:rsid w:val="00C71738"/>
    <w:rsid w:val="00C77F11"/>
    <w:rsid w:val="00C96BA6"/>
    <w:rsid w:val="00C9775C"/>
    <w:rsid w:val="00CB0F7E"/>
    <w:rsid w:val="00CB19EE"/>
    <w:rsid w:val="00CC2170"/>
    <w:rsid w:val="00CD109D"/>
    <w:rsid w:val="00CD4D2E"/>
    <w:rsid w:val="00CD5A02"/>
    <w:rsid w:val="00CE1ED7"/>
    <w:rsid w:val="00CE3720"/>
    <w:rsid w:val="00D0232E"/>
    <w:rsid w:val="00D2189B"/>
    <w:rsid w:val="00D275AF"/>
    <w:rsid w:val="00D33921"/>
    <w:rsid w:val="00D33DBE"/>
    <w:rsid w:val="00D36F74"/>
    <w:rsid w:val="00D4508C"/>
    <w:rsid w:val="00D4779D"/>
    <w:rsid w:val="00D57124"/>
    <w:rsid w:val="00D629E9"/>
    <w:rsid w:val="00D671CA"/>
    <w:rsid w:val="00D717AA"/>
    <w:rsid w:val="00D72BD0"/>
    <w:rsid w:val="00D92B7C"/>
    <w:rsid w:val="00D93827"/>
    <w:rsid w:val="00D9744F"/>
    <w:rsid w:val="00DB3BFC"/>
    <w:rsid w:val="00DC0833"/>
    <w:rsid w:val="00DD6367"/>
    <w:rsid w:val="00E00C92"/>
    <w:rsid w:val="00E06372"/>
    <w:rsid w:val="00E1273B"/>
    <w:rsid w:val="00E137E6"/>
    <w:rsid w:val="00E21088"/>
    <w:rsid w:val="00E24E36"/>
    <w:rsid w:val="00E30C4D"/>
    <w:rsid w:val="00E54847"/>
    <w:rsid w:val="00E7242E"/>
    <w:rsid w:val="00EA0DD0"/>
    <w:rsid w:val="00EB38C5"/>
    <w:rsid w:val="00EC143A"/>
    <w:rsid w:val="00EC7352"/>
    <w:rsid w:val="00EE59BC"/>
    <w:rsid w:val="00EF07B1"/>
    <w:rsid w:val="00EF5BF3"/>
    <w:rsid w:val="00F03BEB"/>
    <w:rsid w:val="00F072D4"/>
    <w:rsid w:val="00F23E0B"/>
    <w:rsid w:val="00F2439E"/>
    <w:rsid w:val="00F30B82"/>
    <w:rsid w:val="00F32017"/>
    <w:rsid w:val="00F40FD0"/>
    <w:rsid w:val="00F60CBF"/>
    <w:rsid w:val="00F70DC1"/>
    <w:rsid w:val="00F73362"/>
    <w:rsid w:val="00F84114"/>
    <w:rsid w:val="00F859BB"/>
    <w:rsid w:val="00F9059C"/>
    <w:rsid w:val="00F912B9"/>
    <w:rsid w:val="00FA56C7"/>
    <w:rsid w:val="00FB0703"/>
    <w:rsid w:val="00FB1DF3"/>
    <w:rsid w:val="00FB4B0B"/>
    <w:rsid w:val="00FC3F29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2499"/>
  <w15:chartTrackingRefBased/>
  <w15:docId w15:val="{31185C53-3C69-446A-B210-EC0E2C3B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F29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47F"/>
    <w:pPr>
      <w:keepNext/>
      <w:keepLines/>
      <w:spacing w:before="240" w:after="240" w:line="24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666"/>
    <w:pPr>
      <w:keepNext/>
      <w:keepLines/>
      <w:spacing w:after="24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0666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color w:val="000000" w:themeColor="text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53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7707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16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7E"/>
  </w:style>
  <w:style w:type="paragraph" w:styleId="Footer">
    <w:name w:val="footer"/>
    <w:basedOn w:val="Normal"/>
    <w:link w:val="FooterChar"/>
    <w:uiPriority w:val="99"/>
    <w:unhideWhenUsed/>
    <w:rsid w:val="00CB0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7E"/>
  </w:style>
  <w:style w:type="character" w:customStyle="1" w:styleId="Heading2Char">
    <w:name w:val="Heading 2 Char"/>
    <w:basedOn w:val="DefaultParagraphFont"/>
    <w:link w:val="Heading2"/>
    <w:uiPriority w:val="9"/>
    <w:rsid w:val="0033447F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F0666"/>
    <w:rPr>
      <w:rFonts w:ascii="Arial" w:eastAsiaTheme="majorEastAsia" w:hAnsi="Arial" w:cstheme="majorBidi"/>
      <w:i/>
      <w:iCs/>
      <w:color w:val="000000" w:themeColor="text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4643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F0666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3F29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census/maps?lad=E08000033" TargetMode="External"/><Relationship Id="rId13" Type="http://schemas.openxmlformats.org/officeDocument/2006/relationships/hyperlink" Target="https://www.ons.gov.uk/employmentandlabourmarket/peopleinwork/employmentandemployeetypes/bulletins/industryandoccupationenglandandwales/census2021" TargetMode="External"/><Relationship Id="rId18" Type="http://schemas.openxmlformats.org/officeDocument/2006/relationships/hyperlink" Target="https://dataworks.calderdale.gov.uk/census-2021/" TargetMode="External"/><Relationship Id="rId26" Type="http://schemas.openxmlformats.org/officeDocument/2006/relationships/hyperlink" Target="https://www.ons.gov.uk/census/maps/choropleth/population?lad=E080000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ataworks.calderdale.gov.uk/dataset/emgpg/census-2021" TargetMode="External"/><Relationship Id="rId7" Type="http://schemas.openxmlformats.org/officeDocument/2006/relationships/hyperlink" Target="https://www.ons.gov.uk/releases/labourmarketandtraveltoworkcensus2021inenglandandwales" TargetMode="External"/><Relationship Id="rId12" Type="http://schemas.openxmlformats.org/officeDocument/2006/relationships/hyperlink" Target="https://www.ons.gov.uk/employmentandlabourmarket/peopleinwork/employmentandemployeetypes/articles/comparingcensus2021andlabourforcesurveyestimatesofthelabourmarketenglandandwales/march2021" TargetMode="External"/><Relationship Id="rId17" Type="http://schemas.openxmlformats.org/officeDocument/2006/relationships/hyperlink" Target="https://www.ons.gov.uk/census/aboutcensus/censusproducts/multivariatedata" TargetMode="External"/><Relationship Id="rId25" Type="http://schemas.openxmlformats.org/officeDocument/2006/relationships/hyperlink" Target="https://www.ons.gov.uk/census/aboutcensus/censusproducts/topicsummarie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ns.gov.uk/census/maps/choropleth/work/method-of-travel-to-workplace/transport-to-workplace-12a/work-mainly-at-or-from-home" TargetMode="External"/><Relationship Id="rId20" Type="http://schemas.openxmlformats.org/officeDocument/2006/relationships/hyperlink" Target="https://dataworks.calderdale.gov.uk/census-2021/census-2021-publications/" TargetMode="External"/><Relationship Id="rId29" Type="http://schemas.openxmlformats.org/officeDocument/2006/relationships/hyperlink" Target="https://www.ons.gov.uk/releases/howyourareahaschangedin10yearscensus2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s.gov.uk/employmentandlabourmarket/peopleinwork/employmentandemployeetypes/bulletins/economicactivitystatusenglandandwales/census2021" TargetMode="External"/><Relationship Id="rId24" Type="http://schemas.openxmlformats.org/officeDocument/2006/relationships/hyperlink" Target="https://www.ons.gov.uk/census/aboutcensus/releaseplan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s://www.ons.gov.uk/census" TargetMode="External"/><Relationship Id="rId28" Type="http://schemas.openxmlformats.org/officeDocument/2006/relationships/hyperlink" Target="https://www.ons.gov.uk/peoplepopulationandcommunity/populationandmigration/populationestimates/articles/playthecensus2021quizhowwelldoyouknowyourarea/2022-12-02" TargetMode="External"/><Relationship Id="rId10" Type="http://schemas.openxmlformats.org/officeDocument/2006/relationships/hyperlink" Target="https://www.ons.gov.uk/releases/howyourareahaschangedin10yearscensus2021" TargetMode="External"/><Relationship Id="rId19" Type="http://schemas.openxmlformats.org/officeDocument/2006/relationships/hyperlink" Target="https://dataworks.calderdale.gov.uk/census-2021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omisweb.co.uk/sources/census_2021/report?compare=E08000033" TargetMode="External"/><Relationship Id="rId14" Type="http://schemas.openxmlformats.org/officeDocument/2006/relationships/hyperlink" Target="https://www.ons.gov.uk/employmentandlabourmarket/peopleinwork/employmentandemployeetypes/bulletins/traveltoworkenglandandwales/census2021" TargetMode="External"/><Relationship Id="rId22" Type="http://schemas.openxmlformats.org/officeDocument/2006/relationships/hyperlink" Target="https://www.ons.gov.uk/releases/labourmarketandtraveltoworkcensus2021inenglandandwales" TargetMode="External"/><Relationship Id="rId27" Type="http://schemas.openxmlformats.org/officeDocument/2006/relationships/hyperlink" Target="https://www.nomisweb.co.uk/sources/census_2021/report?compare=E08000033" TargetMode="External"/><Relationship Id="rId30" Type="http://schemas.openxmlformats.org/officeDocument/2006/relationships/hyperlink" Target="mailto:Performance.businessintelligence@Calderda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Edge</dc:creator>
  <cp:keywords/>
  <dc:description/>
  <cp:lastModifiedBy>Cath Bentley</cp:lastModifiedBy>
  <cp:revision>4</cp:revision>
  <dcterms:created xsi:type="dcterms:W3CDTF">2023-01-16T18:03:00Z</dcterms:created>
  <dcterms:modified xsi:type="dcterms:W3CDTF">2023-01-16T18:16:00Z</dcterms:modified>
</cp:coreProperties>
</file>